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5484" w:rsidRPr="00BF5484" w:rsidRDefault="00BF5484" w:rsidP="00BF5484">
      <w:pPr>
        <w:numPr>
          <w:ilvl w:val="0"/>
          <w:numId w:val="9"/>
        </w:numPr>
        <w:overflowPunct/>
        <w:autoSpaceDE/>
        <w:autoSpaceDN/>
        <w:adjustRightInd/>
        <w:spacing w:before="100" w:after="40" w:line="228" w:lineRule="auto"/>
        <w:contextualSpacing/>
        <w:textAlignment w:val="auto"/>
        <w:rPr>
          <w:rFonts w:ascii="Tahoma" w:eastAsia="Arial" w:hAnsi="Tahoma" w:cs="Tahoma"/>
          <w:b/>
          <w:color w:val="000000"/>
          <w:sz w:val="22"/>
          <w:szCs w:val="22"/>
          <w:lang w:eastAsia="es-CO"/>
        </w:rPr>
      </w:pPr>
      <w:r>
        <w:rPr>
          <w:rFonts w:ascii="Tahoma" w:eastAsia="Arial" w:hAnsi="Tahoma" w:cs="Tahoma"/>
          <w:b/>
          <w:color w:val="000000"/>
          <w:sz w:val="22"/>
          <w:szCs w:val="22"/>
          <w:lang w:eastAsia="es-CO"/>
        </w:rPr>
        <w:t>BALANCE GENERAL COMPARATIVO</w:t>
      </w:r>
      <w:r w:rsidRPr="00BF5484">
        <w:rPr>
          <w:rFonts w:ascii="Tahoma" w:eastAsia="Arial" w:hAnsi="Tahoma" w:cs="Tahoma"/>
          <w:b/>
          <w:color w:val="000000"/>
          <w:sz w:val="22"/>
          <w:szCs w:val="22"/>
          <w:lang w:eastAsia="es-CO"/>
        </w:rPr>
        <w:t xml:space="preserve"> </w:t>
      </w:r>
    </w:p>
    <w:p w:rsidR="00FF24DA" w:rsidRPr="00BF5484" w:rsidRDefault="00FF24DA" w:rsidP="00BF5484">
      <w:pPr>
        <w:overflowPunct/>
        <w:autoSpaceDE/>
        <w:autoSpaceDN/>
        <w:adjustRightInd/>
        <w:spacing w:line="228" w:lineRule="auto"/>
        <w:textAlignment w:val="auto"/>
        <w:rPr>
          <w:rFonts w:ascii="Tahoma" w:eastAsia="Arial" w:hAnsi="Tahoma" w:cs="Tahoma"/>
          <w:noProof/>
          <w:color w:val="000000"/>
          <w:sz w:val="22"/>
          <w:szCs w:val="22"/>
          <w:lang w:eastAsia="es-CO"/>
        </w:rPr>
      </w:pPr>
    </w:p>
    <w:p w:rsidR="00BF5484" w:rsidRPr="00BF5484" w:rsidRDefault="00872FB6" w:rsidP="00BF5484">
      <w:pPr>
        <w:overflowPunct/>
        <w:autoSpaceDE/>
        <w:autoSpaceDN/>
        <w:adjustRightInd/>
        <w:spacing w:line="228" w:lineRule="auto"/>
        <w:textAlignment w:val="auto"/>
        <w:rPr>
          <w:rFonts w:ascii="Tahoma" w:eastAsia="Arial" w:hAnsi="Tahoma" w:cs="Tahoma"/>
          <w:noProof/>
          <w:color w:val="000000"/>
          <w:sz w:val="22"/>
          <w:szCs w:val="22"/>
          <w:lang w:eastAsia="es-CO"/>
        </w:rPr>
      </w:pPr>
      <w:r w:rsidRPr="00872FB6">
        <w:rPr>
          <w:rFonts w:eastAsia="Arial"/>
          <w:noProof/>
          <w:lang w:eastAsia="es-CO"/>
        </w:rPr>
        <w:drawing>
          <wp:inline distT="0" distB="0" distL="0" distR="0" wp14:anchorId="07D52F35" wp14:editId="1880BFF9">
            <wp:extent cx="5755640" cy="3736761"/>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5640" cy="3736761"/>
                    </a:xfrm>
                    <a:prstGeom prst="rect">
                      <a:avLst/>
                    </a:prstGeom>
                    <a:noFill/>
                    <a:ln>
                      <a:noFill/>
                    </a:ln>
                  </pic:spPr>
                </pic:pic>
              </a:graphicData>
            </a:graphic>
          </wp:inline>
        </w:drawing>
      </w:r>
    </w:p>
    <w:p w:rsidR="00BF5484" w:rsidRPr="00BF5484" w:rsidRDefault="00BF5484" w:rsidP="00BF5484">
      <w:pPr>
        <w:overflowPunct/>
        <w:autoSpaceDE/>
        <w:autoSpaceDN/>
        <w:adjustRightInd/>
        <w:spacing w:line="228" w:lineRule="auto"/>
        <w:textAlignment w:val="auto"/>
        <w:rPr>
          <w:rFonts w:ascii="Tahoma" w:eastAsia="Arial" w:hAnsi="Tahoma" w:cs="Tahoma"/>
          <w:noProof/>
          <w:color w:val="000000"/>
          <w:sz w:val="22"/>
          <w:szCs w:val="22"/>
          <w:lang w:eastAsia="es-CO"/>
        </w:rPr>
      </w:pPr>
    </w:p>
    <w:p w:rsidR="00FF24DA" w:rsidRDefault="00FF24DA" w:rsidP="00BF5484">
      <w:pPr>
        <w:overflowPunct/>
        <w:autoSpaceDE/>
        <w:autoSpaceDN/>
        <w:adjustRightInd/>
        <w:spacing w:line="228" w:lineRule="auto"/>
        <w:textAlignment w:val="auto"/>
        <w:rPr>
          <w:rFonts w:ascii="Tahoma" w:eastAsia="Arial" w:hAnsi="Tahoma" w:cs="Tahoma"/>
          <w:noProof/>
          <w:color w:val="000000"/>
          <w:sz w:val="22"/>
          <w:szCs w:val="22"/>
          <w:lang w:eastAsia="es-CO"/>
        </w:rPr>
      </w:pPr>
    </w:p>
    <w:p w:rsidR="00FF24DA" w:rsidRDefault="00FF24DA" w:rsidP="00BF5484">
      <w:pPr>
        <w:overflowPunct/>
        <w:autoSpaceDE/>
        <w:autoSpaceDN/>
        <w:adjustRightInd/>
        <w:spacing w:line="228" w:lineRule="auto"/>
        <w:textAlignment w:val="auto"/>
        <w:rPr>
          <w:rFonts w:ascii="Tahoma" w:eastAsia="Arial" w:hAnsi="Tahoma" w:cs="Tahoma"/>
          <w:noProof/>
          <w:color w:val="000000"/>
          <w:sz w:val="22"/>
          <w:szCs w:val="22"/>
          <w:lang w:eastAsia="es-CO"/>
        </w:rPr>
      </w:pPr>
    </w:p>
    <w:p w:rsidR="00FF24DA" w:rsidRDefault="00872FB6" w:rsidP="00BF5484">
      <w:pPr>
        <w:overflowPunct/>
        <w:autoSpaceDE/>
        <w:autoSpaceDN/>
        <w:adjustRightInd/>
        <w:spacing w:line="228" w:lineRule="auto"/>
        <w:textAlignment w:val="auto"/>
        <w:rPr>
          <w:rFonts w:ascii="Tahoma" w:eastAsia="Arial" w:hAnsi="Tahoma" w:cs="Tahoma"/>
          <w:noProof/>
          <w:color w:val="000000"/>
          <w:sz w:val="22"/>
          <w:szCs w:val="22"/>
          <w:lang w:eastAsia="es-CO"/>
        </w:rPr>
      </w:pPr>
      <w:r>
        <w:rPr>
          <w:rFonts w:ascii="Tahoma" w:eastAsia="Arial" w:hAnsi="Tahoma" w:cs="Tahoma"/>
          <w:noProof/>
          <w:color w:val="000000"/>
          <w:sz w:val="22"/>
          <w:szCs w:val="22"/>
          <w:lang w:eastAsia="es-CO"/>
        </w:rPr>
        <w:drawing>
          <wp:inline distT="0" distB="0" distL="0" distR="0" wp14:anchorId="556AD226">
            <wp:extent cx="5543550" cy="249555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43550" cy="2495550"/>
                    </a:xfrm>
                    <a:prstGeom prst="rect">
                      <a:avLst/>
                    </a:prstGeom>
                    <a:noFill/>
                  </pic:spPr>
                </pic:pic>
              </a:graphicData>
            </a:graphic>
          </wp:inline>
        </w:drawing>
      </w:r>
    </w:p>
    <w:p w:rsidR="00FF24DA" w:rsidRDefault="00FF24DA" w:rsidP="00BF5484">
      <w:pPr>
        <w:overflowPunct/>
        <w:autoSpaceDE/>
        <w:autoSpaceDN/>
        <w:adjustRightInd/>
        <w:spacing w:line="228" w:lineRule="auto"/>
        <w:textAlignment w:val="auto"/>
        <w:rPr>
          <w:rFonts w:ascii="Tahoma" w:eastAsia="Arial" w:hAnsi="Tahoma" w:cs="Tahoma"/>
          <w:noProof/>
          <w:color w:val="000000"/>
          <w:sz w:val="22"/>
          <w:szCs w:val="22"/>
          <w:lang w:eastAsia="es-CO"/>
        </w:rPr>
      </w:pPr>
    </w:p>
    <w:p w:rsidR="00DC6CC7" w:rsidRDefault="00DC6CC7" w:rsidP="00BF5484">
      <w:pPr>
        <w:overflowPunct/>
        <w:autoSpaceDE/>
        <w:autoSpaceDN/>
        <w:adjustRightInd/>
        <w:spacing w:line="228" w:lineRule="auto"/>
        <w:textAlignment w:val="auto"/>
        <w:rPr>
          <w:rFonts w:ascii="Tahoma" w:eastAsia="Arial" w:hAnsi="Tahoma" w:cs="Tahoma"/>
          <w:noProof/>
          <w:color w:val="000000"/>
          <w:sz w:val="22"/>
          <w:szCs w:val="22"/>
          <w:lang w:eastAsia="es-CO"/>
        </w:rPr>
      </w:pP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r w:rsidRPr="000D6884">
        <w:rPr>
          <w:rFonts w:ascii="Tahoma" w:eastAsia="Arial" w:hAnsi="Tahoma" w:cs="Tahoma"/>
          <w:sz w:val="22"/>
          <w:szCs w:val="22"/>
          <w:lang w:eastAsia="es-CO"/>
        </w:rPr>
        <w:t>La información financiera del Hospital San José del Municipio de Ortega Tolima, con corte  a 31 de diciembre de 2015, refleja que la entidad prestadora de servicios de salud, dispone de un total de  activos val</w:t>
      </w:r>
      <w:r w:rsidR="000D6884" w:rsidRPr="000D6884">
        <w:rPr>
          <w:rFonts w:ascii="Tahoma" w:eastAsia="Arial" w:hAnsi="Tahoma" w:cs="Tahoma"/>
          <w:sz w:val="22"/>
          <w:szCs w:val="22"/>
          <w:lang w:eastAsia="es-CO"/>
        </w:rPr>
        <w:t>orizados en  la suma de $4.807,6</w:t>
      </w:r>
      <w:r w:rsidRPr="000D6884">
        <w:rPr>
          <w:rFonts w:ascii="Tahoma" w:eastAsia="Arial" w:hAnsi="Tahoma" w:cs="Tahoma"/>
          <w:sz w:val="22"/>
          <w:szCs w:val="22"/>
          <w:lang w:eastAsia="es-CO"/>
        </w:rPr>
        <w:t xml:space="preserve"> millon</w:t>
      </w:r>
      <w:r w:rsidR="000D6884" w:rsidRPr="000D6884">
        <w:rPr>
          <w:rFonts w:ascii="Tahoma" w:eastAsia="Arial" w:hAnsi="Tahoma" w:cs="Tahoma"/>
          <w:sz w:val="22"/>
          <w:szCs w:val="22"/>
          <w:lang w:eastAsia="es-CO"/>
        </w:rPr>
        <w:t>es, saldo que supera en $1.442,4 millones (42.86</w:t>
      </w:r>
      <w:r w:rsidRPr="000D6884">
        <w:rPr>
          <w:rFonts w:ascii="Tahoma" w:eastAsia="Arial" w:hAnsi="Tahoma" w:cs="Tahoma"/>
          <w:sz w:val="22"/>
          <w:szCs w:val="22"/>
          <w:lang w:eastAsia="es-CO"/>
        </w:rPr>
        <w:t>%) el valor registrado en la vigenc</w:t>
      </w:r>
      <w:r w:rsidR="000D6884" w:rsidRPr="000D6884">
        <w:rPr>
          <w:rFonts w:ascii="Tahoma" w:eastAsia="Arial" w:hAnsi="Tahoma" w:cs="Tahoma"/>
          <w:sz w:val="22"/>
          <w:szCs w:val="22"/>
          <w:lang w:eastAsia="es-CO"/>
        </w:rPr>
        <w:t>ia 2014 que finalizó en $3.365,1</w:t>
      </w:r>
      <w:r w:rsidRPr="000D6884">
        <w:rPr>
          <w:rFonts w:ascii="Tahoma" w:eastAsia="Arial" w:hAnsi="Tahoma" w:cs="Tahoma"/>
          <w:sz w:val="22"/>
          <w:szCs w:val="22"/>
          <w:lang w:eastAsia="es-CO"/>
        </w:rPr>
        <w:t xml:space="preserve"> millones.</w:t>
      </w: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r w:rsidRPr="000D6884">
        <w:rPr>
          <w:rFonts w:ascii="Tahoma" w:eastAsia="Arial" w:hAnsi="Tahoma" w:cs="Tahoma"/>
          <w:sz w:val="22"/>
          <w:szCs w:val="22"/>
          <w:lang w:eastAsia="es-CO"/>
        </w:rPr>
        <w:t>Comparados los saldos registrados en la cuenta del  “Efectivo” entre las vigencias 2014 y 2015, se puede establecer que entre las mismas se presentó   un incremento porcentual</w:t>
      </w:r>
      <w:r w:rsidR="000D6884" w:rsidRPr="000D6884">
        <w:rPr>
          <w:rFonts w:ascii="Tahoma" w:eastAsia="Arial" w:hAnsi="Tahoma" w:cs="Tahoma"/>
          <w:sz w:val="22"/>
          <w:szCs w:val="22"/>
          <w:lang w:eastAsia="es-CO"/>
        </w:rPr>
        <w:t xml:space="preserve"> </w:t>
      </w:r>
      <w:proofErr w:type="gramStart"/>
      <w:r w:rsidR="000D6884" w:rsidRPr="000D6884">
        <w:rPr>
          <w:rFonts w:ascii="Tahoma" w:eastAsia="Arial" w:hAnsi="Tahoma" w:cs="Tahoma"/>
          <w:sz w:val="22"/>
          <w:szCs w:val="22"/>
          <w:lang w:eastAsia="es-CO"/>
        </w:rPr>
        <w:t>representativo del 177,3%, representados en ($246,6</w:t>
      </w:r>
      <w:r w:rsidRPr="000D6884">
        <w:rPr>
          <w:rFonts w:ascii="Tahoma" w:eastAsia="Arial" w:hAnsi="Tahoma" w:cs="Tahoma"/>
          <w:sz w:val="22"/>
          <w:szCs w:val="22"/>
          <w:lang w:eastAsia="es-CO"/>
        </w:rPr>
        <w:t xml:space="preserve"> millones), </w:t>
      </w:r>
      <w:proofErr w:type="gramEnd"/>
      <w:r w:rsidRPr="000D6884">
        <w:rPr>
          <w:rFonts w:ascii="Tahoma" w:eastAsia="Arial" w:hAnsi="Tahoma" w:cs="Tahoma"/>
          <w:sz w:val="22"/>
          <w:szCs w:val="22"/>
          <w:lang w:eastAsia="es-CO"/>
        </w:rPr>
        <w:t xml:space="preserve"> final</w:t>
      </w:r>
      <w:r w:rsidR="000D6884" w:rsidRPr="000D6884">
        <w:rPr>
          <w:rFonts w:ascii="Tahoma" w:eastAsia="Arial" w:hAnsi="Tahoma" w:cs="Tahoma"/>
          <w:sz w:val="22"/>
          <w:szCs w:val="22"/>
          <w:lang w:eastAsia="es-CO"/>
        </w:rPr>
        <w:t>izando la vigencia 2015 en $385,7</w:t>
      </w:r>
      <w:r w:rsidRPr="000D6884">
        <w:rPr>
          <w:rFonts w:ascii="Tahoma" w:eastAsia="Arial" w:hAnsi="Tahoma" w:cs="Tahoma"/>
          <w:sz w:val="22"/>
          <w:szCs w:val="22"/>
          <w:lang w:eastAsia="es-CO"/>
        </w:rPr>
        <w:t xml:space="preserve"> millones. El 87.86% de los recursos del efectivo se encuentran consignados en Instituciones Financieras y el  12.13% en Caja,  cuenta que cerr</w:t>
      </w:r>
      <w:r w:rsidR="000D6884" w:rsidRPr="000D6884">
        <w:rPr>
          <w:rFonts w:ascii="Tahoma" w:eastAsia="Arial" w:hAnsi="Tahoma" w:cs="Tahoma"/>
          <w:sz w:val="22"/>
          <w:szCs w:val="22"/>
          <w:lang w:eastAsia="es-CO"/>
        </w:rPr>
        <w:t>ó el periodo fiscal 2015 en $7.9</w:t>
      </w:r>
      <w:r w:rsidRPr="000D6884">
        <w:rPr>
          <w:rFonts w:ascii="Tahoma" w:eastAsia="Arial" w:hAnsi="Tahoma" w:cs="Tahoma"/>
          <w:sz w:val="22"/>
          <w:szCs w:val="22"/>
          <w:lang w:eastAsia="es-CO"/>
        </w:rPr>
        <w:t xml:space="preserve"> millones, con una variación en el saldo res</w:t>
      </w:r>
      <w:r w:rsidR="000D6884" w:rsidRPr="000D6884">
        <w:rPr>
          <w:rFonts w:ascii="Tahoma" w:eastAsia="Arial" w:hAnsi="Tahoma" w:cs="Tahoma"/>
          <w:sz w:val="22"/>
          <w:szCs w:val="22"/>
          <w:lang w:eastAsia="es-CO"/>
        </w:rPr>
        <w:t>pecto a la vigencia 2014 de $6,2</w:t>
      </w:r>
      <w:r w:rsidRPr="000D6884">
        <w:rPr>
          <w:rFonts w:ascii="Tahoma" w:eastAsia="Arial" w:hAnsi="Tahoma" w:cs="Tahoma"/>
          <w:sz w:val="22"/>
          <w:szCs w:val="22"/>
          <w:lang w:eastAsia="es-CO"/>
        </w:rPr>
        <w:t xml:space="preserve"> millones, in</w:t>
      </w:r>
      <w:r w:rsidR="000D6884" w:rsidRPr="000D6884">
        <w:rPr>
          <w:rFonts w:ascii="Tahoma" w:eastAsia="Arial" w:hAnsi="Tahoma" w:cs="Tahoma"/>
          <w:sz w:val="22"/>
          <w:szCs w:val="22"/>
          <w:lang w:eastAsia="es-CO"/>
        </w:rPr>
        <w:t>cremento que representa el 361,6</w:t>
      </w:r>
      <w:r w:rsidRPr="000D6884">
        <w:rPr>
          <w:rFonts w:ascii="Tahoma" w:eastAsia="Arial" w:hAnsi="Tahoma" w:cs="Tahoma"/>
          <w:sz w:val="22"/>
          <w:szCs w:val="22"/>
          <w:lang w:eastAsia="es-CO"/>
        </w:rPr>
        <w:t xml:space="preserve">%. </w:t>
      </w: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r w:rsidRPr="000D6884">
        <w:rPr>
          <w:rFonts w:ascii="Tahoma" w:eastAsia="Arial" w:hAnsi="Tahoma" w:cs="Tahoma"/>
          <w:sz w:val="22"/>
          <w:szCs w:val="22"/>
          <w:lang w:eastAsia="es-CO"/>
        </w:rPr>
        <w:t>Los  “Deudores” cuenta represe</w:t>
      </w:r>
      <w:r w:rsidR="000D6884" w:rsidRPr="000D6884">
        <w:rPr>
          <w:rFonts w:ascii="Tahoma" w:eastAsia="Arial" w:hAnsi="Tahoma" w:cs="Tahoma"/>
          <w:sz w:val="22"/>
          <w:szCs w:val="22"/>
          <w:lang w:eastAsia="es-CO"/>
        </w:rPr>
        <w:t>ntativa dentro del Actico (29.59</w:t>
      </w:r>
      <w:r w:rsidRPr="000D6884">
        <w:rPr>
          <w:rFonts w:ascii="Tahoma" w:eastAsia="Arial" w:hAnsi="Tahoma" w:cs="Tahoma"/>
          <w:sz w:val="22"/>
          <w:szCs w:val="22"/>
          <w:lang w:eastAsia="es-CO"/>
        </w:rPr>
        <w:t>%), registró  a 31 de dic</w:t>
      </w:r>
      <w:r w:rsidR="000D6884" w:rsidRPr="000D6884">
        <w:rPr>
          <w:rFonts w:ascii="Tahoma" w:eastAsia="Arial" w:hAnsi="Tahoma" w:cs="Tahoma"/>
          <w:sz w:val="22"/>
          <w:szCs w:val="22"/>
          <w:lang w:eastAsia="es-CO"/>
        </w:rPr>
        <w:t>iembre de 2015 la suma de $1.4228,8</w:t>
      </w:r>
      <w:r w:rsidRPr="000D6884">
        <w:rPr>
          <w:rFonts w:ascii="Tahoma" w:eastAsia="Arial" w:hAnsi="Tahoma" w:cs="Tahoma"/>
          <w:sz w:val="22"/>
          <w:szCs w:val="22"/>
          <w:lang w:eastAsia="es-CO"/>
        </w:rPr>
        <w:t xml:space="preserve"> millones,  </w:t>
      </w:r>
      <w:r w:rsidR="000D6884" w:rsidRPr="000D6884">
        <w:rPr>
          <w:rFonts w:ascii="Tahoma" w:eastAsia="Arial" w:hAnsi="Tahoma" w:cs="Tahoma"/>
          <w:sz w:val="22"/>
          <w:szCs w:val="22"/>
          <w:lang w:eastAsia="es-CO"/>
        </w:rPr>
        <w:t xml:space="preserve">sin presentar incremento </w:t>
      </w:r>
      <w:r w:rsidRPr="000D6884">
        <w:rPr>
          <w:rFonts w:ascii="Tahoma" w:eastAsia="Arial" w:hAnsi="Tahoma" w:cs="Tahoma"/>
          <w:sz w:val="22"/>
          <w:szCs w:val="22"/>
          <w:lang w:eastAsia="es-CO"/>
        </w:rPr>
        <w:t xml:space="preserve">con un incremento respecto al valor alcanzado en la vigencia 2014  de $318,7 millones representados en  el 32.51%, variación que se debió al incremento en el saldo por concepto de “Venta de Servicios”, cuenta que pasó de registrar un saldo de $982,8  millones en el 2014  a cuantificar en el 2015 la suma de $1.299 millones. </w:t>
      </w: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r w:rsidRPr="000D6884">
        <w:rPr>
          <w:rFonts w:ascii="Tahoma" w:eastAsia="Arial" w:hAnsi="Tahoma" w:cs="Tahoma"/>
          <w:sz w:val="22"/>
          <w:szCs w:val="22"/>
          <w:lang w:eastAsia="es-CO"/>
        </w:rPr>
        <w:t xml:space="preserve">La entidad  registró  a 31 de diciembre de 2015, en la cuenta de Inventarios la suma de $160,2 millones, presentando una disminución del 24.54% frente a lo registrado en el 2014, en cuya anualidad se cuantificó en $212,4 millones. </w:t>
      </w: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r w:rsidRPr="000D6884">
        <w:rPr>
          <w:rFonts w:ascii="Tahoma" w:eastAsia="Arial" w:hAnsi="Tahoma" w:cs="Tahoma"/>
          <w:sz w:val="22"/>
          <w:szCs w:val="22"/>
          <w:lang w:eastAsia="es-CO"/>
        </w:rPr>
        <w:t xml:space="preserve">Producto de las operaciones adelantadas por la E.S.E durante la vigencia 2015, permitió que la entidad disminuyera el saldo de la cuenta “Otros Activos, en $4,5 millones (3.03%) el saldo obtenido en la vigencia 2014 ($148,6 millones) finalizando de esta forma la anualidad en $144,1 millones. </w:t>
      </w: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r w:rsidRPr="000D6884">
        <w:rPr>
          <w:rFonts w:ascii="Tahoma" w:eastAsia="Arial" w:hAnsi="Tahoma" w:cs="Tahoma"/>
          <w:sz w:val="22"/>
          <w:szCs w:val="22"/>
          <w:lang w:eastAsia="es-CO"/>
        </w:rPr>
        <w:t xml:space="preserve">Las cuentas de Propiedad, Planta  obtuvieron un incremento en el saldo del 67.75% ($ $2.000 millones), pasando de esta forma de registrar en el 2014 un saldo de $2.952,1millones  a $4.952 millones en el 2015. </w:t>
      </w: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r w:rsidRPr="000D6884">
        <w:rPr>
          <w:rFonts w:ascii="Tahoma" w:eastAsia="Arial" w:hAnsi="Tahoma" w:cs="Tahoma"/>
          <w:sz w:val="22"/>
          <w:szCs w:val="22"/>
          <w:lang w:eastAsia="es-CO"/>
        </w:rPr>
        <w:t xml:space="preserve">El grupo de cuentas del Pasivo, presentaron un incremento porcentual en el saldo  entre las vigencias 2014 y 2015 del 186.7% al pasar de $394,6 millones en el 2014  a $581,3 millones en el 2015. Dentro de este grupo  se puede evidenciar que la deuda de mayor representatividad es la de “Cuentas por Pagar” cuenta que finalizó el periodo 2015 en $460,3 millones, con ello se puede evidenciar que durante la anualidad 2015, el pasivo por este concepto se incrementó en un 38.18% frente a la cuantificación realizada en el 2014 que ascendió a $333,1 millones. </w:t>
      </w: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r w:rsidRPr="000D6884">
        <w:rPr>
          <w:rFonts w:ascii="Tahoma" w:eastAsia="Arial" w:hAnsi="Tahoma" w:cs="Tahoma"/>
          <w:sz w:val="22"/>
          <w:szCs w:val="22"/>
          <w:lang w:eastAsia="es-CO"/>
        </w:rPr>
        <w:lastRenderedPageBreak/>
        <w:t xml:space="preserve">La cuenta “Otros Pasivos”  presentó una variación  significativa en el saldo que alcanzó el 94.42%  cuantificando dicho incremento en $34,2 pasando de $36.2 millones a $70,5 millones en el 2015. </w:t>
      </w: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r w:rsidRPr="000D6884">
        <w:rPr>
          <w:rFonts w:ascii="Tahoma" w:eastAsia="Arial" w:hAnsi="Tahoma" w:cs="Tahoma"/>
          <w:sz w:val="22"/>
          <w:szCs w:val="22"/>
          <w:lang w:eastAsia="es-CO"/>
        </w:rPr>
        <w:t xml:space="preserve">El Patrimonio  refleja  un aumento en el saldo del 52.31% esto es $2.076,7 millones, apalancado principalmente por el  “Resultado del Ejercicio” cuya cuenta presento una variación porcentual del 148.09% pasando de registrar en el 2014 un saldo de $612 millones  a un excedente  en el 2015 de $1.518,3 millones. </w:t>
      </w:r>
    </w:p>
    <w:p w:rsidR="00DC6CC7" w:rsidRPr="00872FB6" w:rsidRDefault="00DC6CC7" w:rsidP="00DC6CC7">
      <w:pPr>
        <w:overflowPunct/>
        <w:autoSpaceDE/>
        <w:autoSpaceDN/>
        <w:adjustRightInd/>
        <w:spacing w:line="228" w:lineRule="auto"/>
        <w:textAlignment w:val="auto"/>
        <w:rPr>
          <w:rFonts w:ascii="Tahoma" w:eastAsia="Arial" w:hAnsi="Tahoma" w:cs="Tahoma"/>
          <w:color w:val="FF0000"/>
          <w:sz w:val="22"/>
          <w:szCs w:val="22"/>
          <w:lang w:eastAsia="es-CO"/>
        </w:rPr>
      </w:pPr>
    </w:p>
    <w:p w:rsidR="00DC6CC7" w:rsidRPr="00DC6CC7" w:rsidRDefault="00DC6CC7" w:rsidP="00DC6CC7">
      <w:pPr>
        <w:numPr>
          <w:ilvl w:val="0"/>
          <w:numId w:val="10"/>
        </w:numPr>
        <w:overflowPunct/>
        <w:autoSpaceDE/>
        <w:autoSpaceDN/>
        <w:adjustRightInd/>
        <w:spacing w:before="100" w:after="40" w:line="228" w:lineRule="auto"/>
        <w:contextualSpacing/>
        <w:textAlignment w:val="auto"/>
        <w:rPr>
          <w:rFonts w:ascii="Tahoma" w:eastAsia="Arial" w:hAnsi="Tahoma" w:cs="Tahoma"/>
          <w:b/>
          <w:color w:val="000000"/>
          <w:sz w:val="22"/>
          <w:szCs w:val="22"/>
          <w:lang w:eastAsia="es-CO"/>
        </w:rPr>
      </w:pPr>
      <w:r w:rsidRPr="00DC6CC7">
        <w:rPr>
          <w:rFonts w:ascii="Tahoma" w:eastAsia="Arial" w:hAnsi="Tahoma" w:cs="Tahoma"/>
          <w:b/>
          <w:color w:val="000000"/>
          <w:sz w:val="22"/>
          <w:szCs w:val="22"/>
          <w:lang w:eastAsia="es-CO"/>
        </w:rPr>
        <w:t>ESTADO DE ACTIVIDAD FINANCIERA, ECONÓMICA, SOCIAL Y AMBIENTAL COMPARATIVO</w:t>
      </w:r>
    </w:p>
    <w:p w:rsidR="00DC6CC7" w:rsidRDefault="00DC6CC7" w:rsidP="00DC6CC7">
      <w:pPr>
        <w:overflowPunct/>
        <w:autoSpaceDE/>
        <w:autoSpaceDN/>
        <w:adjustRightInd/>
        <w:spacing w:line="228" w:lineRule="auto"/>
        <w:textAlignment w:val="auto"/>
        <w:rPr>
          <w:rFonts w:ascii="Tahoma" w:eastAsia="Arial" w:hAnsi="Tahoma" w:cs="Tahoma"/>
          <w:color w:val="000000"/>
          <w:sz w:val="22"/>
          <w:szCs w:val="22"/>
          <w:lang w:eastAsia="es-CO"/>
        </w:rPr>
      </w:pPr>
    </w:p>
    <w:p w:rsidR="00872FB6" w:rsidRDefault="00872FB6" w:rsidP="00DC6CC7">
      <w:pPr>
        <w:overflowPunct/>
        <w:autoSpaceDE/>
        <w:autoSpaceDN/>
        <w:adjustRightInd/>
        <w:spacing w:line="228" w:lineRule="auto"/>
        <w:textAlignment w:val="auto"/>
        <w:rPr>
          <w:rFonts w:ascii="Tahoma" w:eastAsia="Arial" w:hAnsi="Tahoma" w:cs="Tahoma"/>
          <w:color w:val="000000"/>
          <w:sz w:val="22"/>
          <w:szCs w:val="22"/>
          <w:lang w:eastAsia="es-CO"/>
        </w:rPr>
      </w:pPr>
    </w:p>
    <w:p w:rsidR="00872FB6" w:rsidRDefault="00872FB6" w:rsidP="00DC6CC7">
      <w:pPr>
        <w:overflowPunct/>
        <w:autoSpaceDE/>
        <w:autoSpaceDN/>
        <w:adjustRightInd/>
        <w:spacing w:line="228" w:lineRule="auto"/>
        <w:textAlignment w:val="auto"/>
        <w:rPr>
          <w:rFonts w:ascii="Tahoma" w:eastAsia="Arial" w:hAnsi="Tahoma" w:cs="Tahoma"/>
          <w:color w:val="000000"/>
          <w:sz w:val="22"/>
          <w:szCs w:val="22"/>
          <w:lang w:eastAsia="es-CO"/>
        </w:rPr>
      </w:pPr>
      <w:r w:rsidRPr="00872FB6">
        <w:rPr>
          <w:rFonts w:eastAsia="Arial"/>
          <w:noProof/>
          <w:lang w:eastAsia="es-CO"/>
        </w:rPr>
        <w:drawing>
          <wp:inline distT="0" distB="0" distL="0" distR="0" wp14:anchorId="755E3F9B" wp14:editId="3BBB23A8">
            <wp:extent cx="5755640" cy="2274107"/>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5640" cy="2274107"/>
                    </a:xfrm>
                    <a:prstGeom prst="rect">
                      <a:avLst/>
                    </a:prstGeom>
                    <a:noFill/>
                    <a:ln>
                      <a:noFill/>
                    </a:ln>
                  </pic:spPr>
                </pic:pic>
              </a:graphicData>
            </a:graphic>
          </wp:inline>
        </w:drawing>
      </w:r>
    </w:p>
    <w:p w:rsidR="00872FB6" w:rsidRDefault="00872FB6" w:rsidP="00DC6CC7">
      <w:pPr>
        <w:overflowPunct/>
        <w:autoSpaceDE/>
        <w:autoSpaceDN/>
        <w:adjustRightInd/>
        <w:spacing w:line="228" w:lineRule="auto"/>
        <w:textAlignment w:val="auto"/>
        <w:rPr>
          <w:rFonts w:ascii="Tahoma" w:eastAsia="Arial" w:hAnsi="Tahoma" w:cs="Tahoma"/>
          <w:color w:val="000000"/>
          <w:sz w:val="22"/>
          <w:szCs w:val="22"/>
          <w:lang w:eastAsia="es-CO"/>
        </w:rPr>
      </w:pPr>
    </w:p>
    <w:p w:rsidR="00872FB6" w:rsidRPr="000D6884" w:rsidRDefault="00872FB6" w:rsidP="00872FB6">
      <w:pPr>
        <w:overflowPunct/>
        <w:autoSpaceDE/>
        <w:autoSpaceDN/>
        <w:adjustRightInd/>
        <w:spacing w:line="228" w:lineRule="auto"/>
        <w:jc w:val="both"/>
        <w:textAlignment w:val="auto"/>
        <w:rPr>
          <w:rFonts w:ascii="Tahoma" w:eastAsia="Arial" w:hAnsi="Tahoma" w:cs="Tahoma"/>
          <w:sz w:val="22"/>
          <w:szCs w:val="22"/>
          <w:lang w:eastAsia="es-CO"/>
        </w:rPr>
      </w:pPr>
      <w:r w:rsidRPr="000D6884">
        <w:rPr>
          <w:rFonts w:ascii="Tahoma" w:eastAsia="Arial" w:hAnsi="Tahoma" w:cs="Tahoma"/>
          <w:sz w:val="22"/>
          <w:szCs w:val="22"/>
          <w:lang w:eastAsia="es-CO"/>
        </w:rPr>
        <w:t>Analizado el Estado de Actividad Financiera de la ESE  “San José del Municipio de Ortega Tolima” a 31 de diciembre de 2015 frente al resultado obtenido en el 2014, se puede determinar que la entidad percibió ingresos en cuantía de $5.256,7 millones, superando en un 51.89% ($1.795,9 millones) el saldo registrado en el 2014 que ascendió a $3.460,8 millones.</w:t>
      </w:r>
    </w:p>
    <w:p w:rsidR="00872FB6" w:rsidRPr="000D6884" w:rsidRDefault="00872FB6" w:rsidP="00872FB6">
      <w:pPr>
        <w:overflowPunct/>
        <w:autoSpaceDE/>
        <w:autoSpaceDN/>
        <w:adjustRightInd/>
        <w:spacing w:line="228" w:lineRule="auto"/>
        <w:jc w:val="both"/>
        <w:textAlignment w:val="auto"/>
        <w:rPr>
          <w:rFonts w:ascii="Tahoma" w:eastAsia="Arial" w:hAnsi="Tahoma" w:cs="Tahoma"/>
          <w:sz w:val="22"/>
          <w:szCs w:val="22"/>
          <w:lang w:eastAsia="es-CO"/>
        </w:rPr>
      </w:pPr>
    </w:p>
    <w:p w:rsidR="00872FB6" w:rsidRPr="000D6884" w:rsidRDefault="00872FB6" w:rsidP="00872FB6">
      <w:pPr>
        <w:overflowPunct/>
        <w:autoSpaceDE/>
        <w:autoSpaceDN/>
        <w:adjustRightInd/>
        <w:spacing w:line="228" w:lineRule="auto"/>
        <w:jc w:val="both"/>
        <w:textAlignment w:val="auto"/>
        <w:rPr>
          <w:rFonts w:ascii="Tahoma" w:eastAsia="Arial" w:hAnsi="Tahoma" w:cs="Tahoma"/>
          <w:sz w:val="22"/>
          <w:szCs w:val="22"/>
          <w:lang w:eastAsia="es-CO"/>
        </w:rPr>
      </w:pPr>
      <w:r w:rsidRPr="000D6884">
        <w:rPr>
          <w:rFonts w:ascii="Tahoma" w:eastAsia="Arial" w:hAnsi="Tahoma" w:cs="Tahoma"/>
          <w:sz w:val="22"/>
          <w:szCs w:val="22"/>
          <w:lang w:eastAsia="es-CO"/>
        </w:rPr>
        <w:t xml:space="preserve">La Venta de Servicios, cuenta  que representa el 83.11% de los ingresos percibidos por la ESE, finalizó la anualidad 2015 con un saldo de $4.369,3 millones, evidenciándose un incremento del 27.01% ($929,1 millones) más de lo contabilizado en el 2014. </w:t>
      </w:r>
    </w:p>
    <w:p w:rsidR="00872FB6" w:rsidRPr="00872FB6" w:rsidRDefault="00872FB6" w:rsidP="00DC6CC7">
      <w:pPr>
        <w:overflowPunct/>
        <w:autoSpaceDE/>
        <w:autoSpaceDN/>
        <w:adjustRightInd/>
        <w:spacing w:line="228" w:lineRule="auto"/>
        <w:textAlignment w:val="auto"/>
        <w:rPr>
          <w:rFonts w:ascii="Tahoma" w:eastAsia="Arial" w:hAnsi="Tahoma" w:cs="Tahoma"/>
          <w:color w:val="FF0000"/>
          <w:sz w:val="22"/>
          <w:szCs w:val="22"/>
          <w:lang w:eastAsia="es-CO"/>
        </w:rPr>
      </w:pPr>
    </w:p>
    <w:p w:rsidR="00872FB6" w:rsidRPr="00DC6CC7" w:rsidRDefault="00872FB6" w:rsidP="00DC6CC7">
      <w:pPr>
        <w:overflowPunct/>
        <w:autoSpaceDE/>
        <w:autoSpaceDN/>
        <w:adjustRightInd/>
        <w:spacing w:line="228" w:lineRule="auto"/>
        <w:textAlignment w:val="auto"/>
        <w:rPr>
          <w:rFonts w:ascii="Tahoma" w:eastAsia="Arial" w:hAnsi="Tahoma" w:cs="Tahoma"/>
          <w:color w:val="000000"/>
          <w:sz w:val="22"/>
          <w:szCs w:val="22"/>
          <w:lang w:eastAsia="es-CO"/>
        </w:rPr>
      </w:pPr>
    </w:p>
    <w:p w:rsidR="00DC6CC7" w:rsidRPr="00DC6CC7" w:rsidRDefault="00DC6CC7" w:rsidP="00DC6CC7">
      <w:pPr>
        <w:overflowPunct/>
        <w:autoSpaceDE/>
        <w:autoSpaceDN/>
        <w:adjustRightInd/>
        <w:spacing w:line="228" w:lineRule="auto"/>
        <w:textAlignment w:val="auto"/>
        <w:rPr>
          <w:rFonts w:eastAsia="Arial" w:cs="Arial"/>
          <w:noProof/>
          <w:color w:val="000000"/>
          <w:sz w:val="22"/>
          <w:szCs w:val="22"/>
          <w:lang w:eastAsia="es-CO"/>
        </w:rPr>
      </w:pPr>
      <w:r w:rsidRPr="00DC6CC7">
        <w:rPr>
          <w:rFonts w:eastAsia="Arial" w:cs="Arial"/>
          <w:noProof/>
          <w:color w:val="000000"/>
          <w:sz w:val="22"/>
          <w:szCs w:val="22"/>
          <w:lang w:eastAsia="es-CO"/>
        </w:rPr>
        <w:lastRenderedPageBreak/>
        <w:drawing>
          <wp:inline distT="0" distB="0" distL="0" distR="0" wp14:anchorId="6E7B0B78" wp14:editId="0173F9C0">
            <wp:extent cx="4552950" cy="2417228"/>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72312" cy="2427508"/>
                    </a:xfrm>
                    <a:prstGeom prst="rect">
                      <a:avLst/>
                    </a:prstGeom>
                    <a:noFill/>
                  </pic:spPr>
                </pic:pic>
              </a:graphicData>
            </a:graphic>
          </wp:inline>
        </w:drawing>
      </w:r>
    </w:p>
    <w:p w:rsidR="00872FB6" w:rsidRPr="000D6884" w:rsidRDefault="00872FB6" w:rsidP="00DC6CC7">
      <w:pPr>
        <w:overflowPunct/>
        <w:autoSpaceDE/>
        <w:autoSpaceDN/>
        <w:adjustRightInd/>
        <w:spacing w:line="228" w:lineRule="auto"/>
        <w:jc w:val="both"/>
        <w:textAlignment w:val="auto"/>
        <w:rPr>
          <w:rFonts w:ascii="Tahoma" w:eastAsia="Arial" w:hAnsi="Tahoma" w:cs="Tahoma"/>
          <w:sz w:val="22"/>
          <w:szCs w:val="22"/>
          <w:lang w:eastAsia="es-CO"/>
        </w:rPr>
      </w:pPr>
      <w:bookmarkStart w:id="0" w:name="_GoBack"/>
      <w:bookmarkEnd w:id="0"/>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r w:rsidRPr="000D6884">
        <w:rPr>
          <w:rFonts w:ascii="Tahoma" w:eastAsia="Arial" w:hAnsi="Tahoma" w:cs="Tahoma"/>
          <w:sz w:val="22"/>
          <w:szCs w:val="22"/>
          <w:lang w:eastAsia="es-CO"/>
        </w:rPr>
        <w:t xml:space="preserve">Los Gastos mantuvieron un comportamiento de crecimiento entre las vigencias (2014-2015) representados en un 107,81% ($1.485,5 millones), pasando de contabilizar en la vigencia 2014 la suma de $1.377,8 millones a $2.863,3 millones en el 2015, apalancado principalmente por los gastos de administración los cuales alcanzaron un incremento en el saldo del 103.56% ($1.190,1 millones), al pasar de $1.149,1 millones  en el 2014 a $2.339,3  millones en el 2015. </w:t>
      </w: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r w:rsidRPr="000D6884">
        <w:rPr>
          <w:rFonts w:ascii="Tahoma" w:eastAsia="Arial" w:hAnsi="Tahoma" w:cs="Tahoma"/>
          <w:sz w:val="22"/>
          <w:szCs w:val="22"/>
          <w:lang w:eastAsia="es-CO"/>
        </w:rPr>
        <w:t>La cuenta “Otros gastos” conservaron el crecimiento porcentual en el saldo obtenido en vigencias anteriores, alcanzando entre las vigencias 2014 y 2015, un mayor valor de $308,1 millones, cifra que representa el 592,4% pasando de registrar en el 2014 por este concepto la suma de $52 millones a $360,1 millones en el 2015.</w:t>
      </w:r>
    </w:p>
    <w:p w:rsidR="00DC6CC7" w:rsidRPr="00872FB6" w:rsidRDefault="00DC6CC7" w:rsidP="00DC6CC7">
      <w:pPr>
        <w:overflowPunct/>
        <w:autoSpaceDE/>
        <w:autoSpaceDN/>
        <w:adjustRightInd/>
        <w:spacing w:line="228" w:lineRule="auto"/>
        <w:jc w:val="both"/>
        <w:textAlignment w:val="auto"/>
        <w:rPr>
          <w:rFonts w:ascii="Tahoma" w:eastAsia="Arial" w:hAnsi="Tahoma" w:cs="Tahoma"/>
          <w:color w:val="FF0000"/>
          <w:sz w:val="22"/>
          <w:szCs w:val="22"/>
          <w:lang w:eastAsia="es-CO"/>
        </w:rPr>
      </w:pPr>
    </w:p>
    <w:p w:rsidR="00DC6CC7" w:rsidRPr="000D6884" w:rsidRDefault="00DC6CC7" w:rsidP="00DC6CC7">
      <w:pPr>
        <w:overflowPunct/>
        <w:autoSpaceDE/>
        <w:autoSpaceDN/>
        <w:adjustRightInd/>
        <w:spacing w:line="228" w:lineRule="auto"/>
        <w:jc w:val="both"/>
        <w:textAlignment w:val="auto"/>
        <w:rPr>
          <w:rFonts w:ascii="Tahoma" w:eastAsia="Arial" w:hAnsi="Tahoma" w:cs="Tahoma"/>
          <w:b/>
          <w:sz w:val="22"/>
          <w:szCs w:val="22"/>
          <w:lang w:eastAsia="es-CO"/>
        </w:rPr>
      </w:pPr>
      <w:r w:rsidRPr="000D6884">
        <w:rPr>
          <w:rFonts w:ascii="Tahoma" w:eastAsia="Arial" w:hAnsi="Tahoma" w:cs="Tahoma"/>
          <w:sz w:val="22"/>
          <w:szCs w:val="22"/>
          <w:lang w:eastAsia="es-CO"/>
        </w:rPr>
        <w:t xml:space="preserve"> </w:t>
      </w:r>
      <w:r w:rsidRPr="000D6884">
        <w:rPr>
          <w:rFonts w:ascii="Tahoma" w:eastAsia="Arial" w:hAnsi="Tahoma" w:cs="Tahoma"/>
          <w:b/>
          <w:sz w:val="22"/>
          <w:szCs w:val="22"/>
          <w:lang w:eastAsia="es-CO"/>
        </w:rPr>
        <w:t>APLICACIÓN DE INDICADORES FINANCIEROS</w:t>
      </w:r>
    </w:p>
    <w:p w:rsidR="00DC6CC7" w:rsidRPr="000D6884" w:rsidRDefault="00DC6CC7" w:rsidP="00DC6CC7">
      <w:pPr>
        <w:overflowPunct/>
        <w:autoSpaceDE/>
        <w:autoSpaceDN/>
        <w:adjustRightInd/>
        <w:spacing w:line="228" w:lineRule="auto"/>
        <w:textAlignment w:val="auto"/>
        <w:rPr>
          <w:rFonts w:ascii="Tahoma" w:eastAsia="Arial" w:hAnsi="Tahoma" w:cs="Tahoma"/>
          <w:sz w:val="22"/>
          <w:szCs w:val="22"/>
          <w:lang w:eastAsia="es-CO"/>
        </w:rPr>
      </w:pPr>
    </w:p>
    <w:p w:rsidR="00DC6CC7" w:rsidRPr="000D6884" w:rsidRDefault="00DC6CC7" w:rsidP="00DC6CC7">
      <w:pPr>
        <w:numPr>
          <w:ilvl w:val="1"/>
          <w:numId w:val="10"/>
        </w:numPr>
        <w:overflowPunct/>
        <w:autoSpaceDE/>
        <w:autoSpaceDN/>
        <w:adjustRightInd/>
        <w:spacing w:before="100" w:after="40" w:line="228" w:lineRule="auto"/>
        <w:contextualSpacing/>
        <w:textAlignment w:val="auto"/>
        <w:rPr>
          <w:rFonts w:ascii="Tahoma" w:eastAsia="Arial" w:hAnsi="Tahoma" w:cs="Tahoma"/>
          <w:sz w:val="22"/>
          <w:szCs w:val="22"/>
          <w:lang w:eastAsia="es-CO"/>
        </w:rPr>
      </w:pPr>
      <w:r w:rsidRPr="000D6884">
        <w:rPr>
          <w:rFonts w:ascii="Tahoma" w:eastAsia="Arial" w:hAnsi="Tahoma" w:cs="Tahoma"/>
          <w:sz w:val="22"/>
          <w:szCs w:val="22"/>
          <w:lang w:eastAsia="es-CO"/>
        </w:rPr>
        <w:t>Indicadores de liquidez y Solvencia</w:t>
      </w:r>
    </w:p>
    <w:p w:rsidR="00DC6CC7" w:rsidRPr="000D6884" w:rsidRDefault="00DC6CC7" w:rsidP="00DC6CC7">
      <w:pPr>
        <w:overflowPunct/>
        <w:autoSpaceDE/>
        <w:autoSpaceDN/>
        <w:adjustRightInd/>
        <w:spacing w:line="228" w:lineRule="auto"/>
        <w:textAlignment w:val="auto"/>
        <w:rPr>
          <w:rFonts w:ascii="Tahoma" w:eastAsia="Arial" w:hAnsi="Tahoma" w:cs="Tahoma"/>
          <w:sz w:val="22"/>
          <w:szCs w:val="22"/>
          <w:lang w:eastAsia="es-CO"/>
        </w:rPr>
      </w:pP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r w:rsidRPr="000D6884">
        <w:rPr>
          <w:rFonts w:ascii="Tahoma" w:eastAsia="Arial" w:hAnsi="Tahoma" w:cs="Tahoma"/>
          <w:sz w:val="22"/>
          <w:szCs w:val="22"/>
          <w:lang w:eastAsia="es-CO"/>
        </w:rPr>
        <w:t>Razón Corriente: Nos muestra la capacidad que tiene la entidad para cubrir sus deudas en el corto plazo, ya que indica por cada peso que se debe, con cuantos se cuenta para respaldarlo.</w:t>
      </w: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r w:rsidRPr="000D6884">
        <w:rPr>
          <w:rFonts w:ascii="Tahoma" w:eastAsia="Arial" w:hAnsi="Tahoma" w:cs="Tahoma"/>
          <w:sz w:val="22"/>
          <w:szCs w:val="22"/>
          <w:lang w:eastAsia="es-CO"/>
        </w:rPr>
        <w:t>Formula: Activo Corriente / Pasivo Corriente</w:t>
      </w: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r w:rsidRPr="000D6884">
        <w:rPr>
          <w:rFonts w:ascii="Tahoma" w:eastAsia="Arial" w:hAnsi="Tahoma" w:cs="Tahoma"/>
          <w:sz w:val="22"/>
          <w:szCs w:val="22"/>
          <w:lang w:eastAsia="es-CO"/>
        </w:rPr>
        <w:t>Activo Corriente:</w:t>
      </w:r>
    </w:p>
    <w:p w:rsidR="00DC6CC7" w:rsidRPr="000D6884" w:rsidRDefault="00DC6CC7" w:rsidP="00C86971">
      <w:pPr>
        <w:overflowPunct/>
        <w:autoSpaceDE/>
        <w:autoSpaceDN/>
        <w:adjustRightInd/>
        <w:jc w:val="both"/>
        <w:textAlignment w:val="auto"/>
        <w:rPr>
          <w:rFonts w:ascii="Tahoma" w:hAnsi="Tahoma" w:cs="Tahoma"/>
          <w:sz w:val="22"/>
          <w:szCs w:val="22"/>
          <w:lang w:eastAsia="es-CO"/>
        </w:rPr>
      </w:pPr>
      <w:r w:rsidRPr="000D6884">
        <w:rPr>
          <w:rFonts w:ascii="Tahoma" w:eastAsia="Arial" w:hAnsi="Tahoma" w:cs="Tahoma"/>
          <w:sz w:val="22"/>
          <w:szCs w:val="22"/>
          <w:lang w:eastAsia="es-CO"/>
        </w:rPr>
        <w:t>Efectivo</w:t>
      </w:r>
      <w:r w:rsidRPr="000D6884">
        <w:rPr>
          <w:rFonts w:ascii="Tahoma" w:eastAsia="Arial" w:hAnsi="Tahoma" w:cs="Tahoma"/>
          <w:sz w:val="22"/>
          <w:szCs w:val="22"/>
          <w:lang w:eastAsia="es-CO"/>
        </w:rPr>
        <w:tab/>
      </w:r>
      <w:r w:rsidRPr="000D6884">
        <w:rPr>
          <w:rFonts w:ascii="Tahoma" w:eastAsia="Arial" w:hAnsi="Tahoma" w:cs="Tahoma"/>
          <w:sz w:val="22"/>
          <w:szCs w:val="22"/>
          <w:lang w:eastAsia="es-CO"/>
        </w:rPr>
        <w:tab/>
        <w:t>$</w:t>
      </w:r>
      <w:r w:rsidRPr="000D6884">
        <w:rPr>
          <w:rFonts w:eastAsia="Arial" w:cs="Arial"/>
          <w:sz w:val="20"/>
          <w:lang w:eastAsia="es-CO"/>
        </w:rPr>
        <w:t xml:space="preserve"> </w:t>
      </w:r>
      <w:r w:rsidRPr="000D6884">
        <w:rPr>
          <w:rFonts w:ascii="Tahoma" w:hAnsi="Tahoma" w:cs="Tahoma"/>
          <w:sz w:val="22"/>
          <w:szCs w:val="22"/>
          <w:lang w:eastAsia="es-CO"/>
        </w:rPr>
        <w:t xml:space="preserve">    72.739</w:t>
      </w:r>
      <w:r w:rsidRPr="000D6884">
        <w:rPr>
          <w:rFonts w:ascii="Tahoma" w:eastAsia="Arial" w:hAnsi="Tahoma" w:cs="Tahoma"/>
          <w:sz w:val="22"/>
          <w:szCs w:val="22"/>
          <w:lang w:eastAsia="es-CO"/>
        </w:rPr>
        <w:tab/>
        <w:t xml:space="preserve">    </w:t>
      </w:r>
    </w:p>
    <w:p w:rsidR="00DC6CC7" w:rsidRPr="000D6884" w:rsidRDefault="00DC6CC7" w:rsidP="00C86971">
      <w:pPr>
        <w:overflowPunct/>
        <w:autoSpaceDE/>
        <w:autoSpaceDN/>
        <w:adjustRightInd/>
        <w:jc w:val="both"/>
        <w:textAlignment w:val="auto"/>
        <w:rPr>
          <w:rFonts w:ascii="Tahoma" w:hAnsi="Tahoma" w:cs="Tahoma"/>
          <w:sz w:val="22"/>
          <w:szCs w:val="22"/>
          <w:lang w:eastAsia="es-CO"/>
        </w:rPr>
      </w:pPr>
      <w:r w:rsidRPr="000D6884">
        <w:rPr>
          <w:rFonts w:ascii="Tahoma" w:eastAsia="Arial" w:hAnsi="Tahoma" w:cs="Tahoma"/>
          <w:sz w:val="22"/>
          <w:szCs w:val="22"/>
          <w:lang w:eastAsia="es-CO"/>
        </w:rPr>
        <w:t>Deudores</w:t>
      </w:r>
      <w:r w:rsidRPr="000D6884">
        <w:rPr>
          <w:rFonts w:ascii="Tahoma" w:eastAsia="Arial" w:hAnsi="Tahoma" w:cs="Tahoma"/>
          <w:sz w:val="22"/>
          <w:szCs w:val="22"/>
          <w:lang w:eastAsia="es-CO"/>
        </w:rPr>
        <w:tab/>
      </w:r>
      <w:r w:rsidRPr="000D6884">
        <w:rPr>
          <w:rFonts w:ascii="Tahoma" w:eastAsia="Arial" w:hAnsi="Tahoma" w:cs="Tahoma"/>
          <w:sz w:val="22"/>
          <w:szCs w:val="22"/>
          <w:lang w:eastAsia="es-CO"/>
        </w:rPr>
        <w:tab/>
        <w:t xml:space="preserve">  1.299.048</w:t>
      </w:r>
    </w:p>
    <w:p w:rsidR="00DC6CC7" w:rsidRPr="000D6884" w:rsidRDefault="00DC6CC7" w:rsidP="00C86971">
      <w:pPr>
        <w:overflowPunct/>
        <w:autoSpaceDE/>
        <w:autoSpaceDN/>
        <w:adjustRightInd/>
        <w:jc w:val="both"/>
        <w:textAlignment w:val="auto"/>
        <w:rPr>
          <w:rFonts w:ascii="Tahoma" w:hAnsi="Tahoma" w:cs="Tahoma"/>
          <w:sz w:val="22"/>
          <w:szCs w:val="22"/>
          <w:lang w:eastAsia="es-CO"/>
        </w:rPr>
      </w:pPr>
      <w:r w:rsidRPr="000D6884">
        <w:rPr>
          <w:rFonts w:ascii="Tahoma" w:hAnsi="Tahoma" w:cs="Tahoma"/>
          <w:sz w:val="22"/>
          <w:szCs w:val="22"/>
          <w:lang w:eastAsia="es-CO"/>
        </w:rPr>
        <w:t>Inventarios                    160.289</w:t>
      </w:r>
    </w:p>
    <w:p w:rsidR="00DC6CC7" w:rsidRPr="000D6884" w:rsidRDefault="00DC6CC7" w:rsidP="00DC6CC7">
      <w:pPr>
        <w:overflowPunct/>
        <w:autoSpaceDE/>
        <w:autoSpaceDN/>
        <w:adjustRightInd/>
        <w:spacing w:line="228" w:lineRule="auto"/>
        <w:textAlignment w:val="auto"/>
        <w:rPr>
          <w:rFonts w:ascii="Tahoma" w:eastAsia="Arial" w:hAnsi="Tahoma" w:cs="Tahoma"/>
          <w:sz w:val="22"/>
          <w:szCs w:val="22"/>
          <w:lang w:eastAsia="es-CO"/>
        </w:rPr>
      </w:pPr>
      <w:r w:rsidRPr="000D6884">
        <w:rPr>
          <w:rFonts w:ascii="Tahoma" w:eastAsia="Arial" w:hAnsi="Tahoma" w:cs="Tahoma"/>
          <w:sz w:val="22"/>
          <w:szCs w:val="22"/>
          <w:lang w:eastAsia="es-CO"/>
        </w:rPr>
        <w:tab/>
      </w:r>
      <w:r w:rsidRPr="000D6884">
        <w:rPr>
          <w:rFonts w:ascii="Tahoma" w:eastAsia="Arial" w:hAnsi="Tahoma" w:cs="Tahoma"/>
          <w:sz w:val="22"/>
          <w:szCs w:val="22"/>
          <w:lang w:eastAsia="es-CO"/>
        </w:rPr>
        <w:tab/>
      </w:r>
      <w:r w:rsidRPr="000D6884">
        <w:rPr>
          <w:rFonts w:ascii="Tahoma" w:eastAsia="Arial" w:hAnsi="Tahoma" w:cs="Tahoma"/>
          <w:sz w:val="22"/>
          <w:szCs w:val="22"/>
          <w:lang w:eastAsia="es-CO"/>
        </w:rPr>
        <w:tab/>
        <w:t>--------------------</w:t>
      </w:r>
    </w:p>
    <w:p w:rsidR="00DC6CC7" w:rsidRPr="000D6884" w:rsidRDefault="00DC6CC7" w:rsidP="00DC6CC7">
      <w:pPr>
        <w:overflowPunct/>
        <w:autoSpaceDE/>
        <w:autoSpaceDN/>
        <w:adjustRightInd/>
        <w:spacing w:line="228" w:lineRule="auto"/>
        <w:textAlignment w:val="auto"/>
        <w:rPr>
          <w:rFonts w:ascii="Tahoma" w:eastAsia="Arial" w:hAnsi="Tahoma" w:cs="Tahoma"/>
          <w:sz w:val="22"/>
          <w:szCs w:val="22"/>
          <w:lang w:eastAsia="es-CO"/>
        </w:rPr>
      </w:pPr>
      <w:r w:rsidRPr="000D6884">
        <w:rPr>
          <w:rFonts w:ascii="Tahoma" w:eastAsia="Arial" w:hAnsi="Tahoma" w:cs="Tahoma"/>
          <w:sz w:val="22"/>
          <w:szCs w:val="22"/>
          <w:lang w:eastAsia="es-CO"/>
        </w:rPr>
        <w:tab/>
      </w:r>
      <w:r w:rsidRPr="000D6884">
        <w:rPr>
          <w:rFonts w:ascii="Tahoma" w:eastAsia="Arial" w:hAnsi="Tahoma" w:cs="Tahoma"/>
          <w:sz w:val="22"/>
          <w:szCs w:val="22"/>
          <w:lang w:eastAsia="es-CO"/>
        </w:rPr>
        <w:tab/>
      </w:r>
      <w:r w:rsidRPr="000D6884">
        <w:rPr>
          <w:rFonts w:ascii="Tahoma" w:eastAsia="Arial" w:hAnsi="Tahoma" w:cs="Tahoma"/>
          <w:sz w:val="22"/>
          <w:szCs w:val="22"/>
          <w:lang w:eastAsia="es-CO"/>
        </w:rPr>
        <w:tab/>
        <w:t xml:space="preserve">  $1.532.076</w:t>
      </w:r>
    </w:p>
    <w:p w:rsidR="00DC6CC7" w:rsidRPr="000D6884" w:rsidRDefault="00DC6CC7" w:rsidP="00DC6CC7">
      <w:pPr>
        <w:overflowPunct/>
        <w:autoSpaceDE/>
        <w:autoSpaceDN/>
        <w:adjustRightInd/>
        <w:spacing w:line="228" w:lineRule="auto"/>
        <w:textAlignment w:val="auto"/>
        <w:rPr>
          <w:rFonts w:ascii="Tahoma" w:eastAsia="Arial" w:hAnsi="Tahoma" w:cs="Tahoma"/>
          <w:sz w:val="22"/>
          <w:szCs w:val="22"/>
          <w:lang w:eastAsia="es-CO"/>
        </w:rPr>
      </w:pPr>
    </w:p>
    <w:p w:rsidR="00DC6CC7" w:rsidRPr="000D6884" w:rsidRDefault="00DC6CC7" w:rsidP="00DC6CC7">
      <w:pPr>
        <w:overflowPunct/>
        <w:autoSpaceDE/>
        <w:autoSpaceDN/>
        <w:adjustRightInd/>
        <w:spacing w:line="228" w:lineRule="auto"/>
        <w:textAlignment w:val="auto"/>
        <w:rPr>
          <w:rFonts w:ascii="Tahoma" w:eastAsia="Arial" w:hAnsi="Tahoma" w:cs="Tahoma"/>
          <w:sz w:val="22"/>
          <w:szCs w:val="22"/>
          <w:lang w:eastAsia="es-CO"/>
        </w:rPr>
      </w:pPr>
    </w:p>
    <w:p w:rsidR="00DC6CC7" w:rsidRPr="000D6884" w:rsidRDefault="00DC6CC7" w:rsidP="00DC6CC7">
      <w:pPr>
        <w:overflowPunct/>
        <w:autoSpaceDE/>
        <w:autoSpaceDN/>
        <w:adjustRightInd/>
        <w:spacing w:line="228" w:lineRule="auto"/>
        <w:textAlignment w:val="auto"/>
        <w:rPr>
          <w:rFonts w:ascii="Tahoma" w:eastAsia="Arial" w:hAnsi="Tahoma" w:cs="Tahoma"/>
          <w:sz w:val="22"/>
          <w:szCs w:val="22"/>
          <w:lang w:eastAsia="es-CO"/>
        </w:rPr>
      </w:pPr>
    </w:p>
    <w:p w:rsidR="00DC6CC7" w:rsidRPr="000D6884" w:rsidRDefault="00DC6CC7" w:rsidP="00DC6CC7">
      <w:pPr>
        <w:overflowPunct/>
        <w:autoSpaceDE/>
        <w:autoSpaceDN/>
        <w:adjustRightInd/>
        <w:spacing w:line="228" w:lineRule="auto"/>
        <w:textAlignment w:val="auto"/>
        <w:rPr>
          <w:rFonts w:ascii="Tahoma" w:eastAsia="Arial" w:hAnsi="Tahoma" w:cs="Tahoma"/>
          <w:sz w:val="22"/>
          <w:szCs w:val="22"/>
          <w:lang w:eastAsia="es-CO"/>
        </w:rPr>
      </w:pPr>
      <w:r w:rsidRPr="000D6884">
        <w:rPr>
          <w:rFonts w:ascii="Tahoma" w:eastAsia="Arial" w:hAnsi="Tahoma" w:cs="Tahoma"/>
          <w:sz w:val="22"/>
          <w:szCs w:val="22"/>
          <w:lang w:eastAsia="es-CO"/>
        </w:rPr>
        <w:t>Pasivo Corriente:</w:t>
      </w:r>
    </w:p>
    <w:p w:rsidR="00DC6CC7" w:rsidRPr="000D6884" w:rsidRDefault="00DC6CC7" w:rsidP="00DC6CC7">
      <w:pPr>
        <w:overflowPunct/>
        <w:autoSpaceDE/>
        <w:autoSpaceDN/>
        <w:adjustRightInd/>
        <w:spacing w:line="228" w:lineRule="auto"/>
        <w:textAlignment w:val="auto"/>
        <w:rPr>
          <w:rFonts w:ascii="Tahoma" w:eastAsia="Arial" w:hAnsi="Tahoma" w:cs="Tahoma"/>
          <w:sz w:val="22"/>
          <w:szCs w:val="22"/>
          <w:lang w:eastAsia="es-CO"/>
        </w:rPr>
      </w:pPr>
    </w:p>
    <w:p w:rsidR="00DC6CC7" w:rsidRPr="000D6884" w:rsidRDefault="00DC6CC7" w:rsidP="00DC6CC7">
      <w:pPr>
        <w:overflowPunct/>
        <w:autoSpaceDE/>
        <w:autoSpaceDN/>
        <w:adjustRightInd/>
        <w:spacing w:line="228" w:lineRule="auto"/>
        <w:textAlignment w:val="auto"/>
        <w:rPr>
          <w:rFonts w:ascii="Tahoma" w:eastAsia="Arial" w:hAnsi="Tahoma" w:cs="Tahoma"/>
          <w:sz w:val="22"/>
          <w:szCs w:val="22"/>
          <w:lang w:eastAsia="es-CO"/>
        </w:rPr>
      </w:pPr>
      <w:r w:rsidRPr="000D6884">
        <w:rPr>
          <w:rFonts w:ascii="Tahoma" w:eastAsia="Arial" w:hAnsi="Tahoma" w:cs="Tahoma"/>
          <w:sz w:val="22"/>
          <w:szCs w:val="22"/>
          <w:lang w:eastAsia="es-CO"/>
        </w:rPr>
        <w:t>Cuentas por Pagar</w:t>
      </w:r>
      <w:r w:rsidRPr="000D6884">
        <w:rPr>
          <w:rFonts w:ascii="Tahoma" w:eastAsia="Arial" w:hAnsi="Tahoma" w:cs="Tahoma"/>
          <w:sz w:val="22"/>
          <w:szCs w:val="22"/>
          <w:lang w:eastAsia="es-CO"/>
        </w:rPr>
        <w:tab/>
      </w:r>
      <w:r w:rsidRPr="000D6884">
        <w:rPr>
          <w:rFonts w:ascii="Tahoma" w:eastAsia="Arial" w:hAnsi="Tahoma" w:cs="Tahoma"/>
          <w:sz w:val="22"/>
          <w:szCs w:val="22"/>
          <w:lang w:eastAsia="es-CO"/>
        </w:rPr>
        <w:tab/>
      </w:r>
      <w:r w:rsidRPr="000D6884">
        <w:rPr>
          <w:rFonts w:ascii="Tahoma" w:eastAsia="Arial" w:hAnsi="Tahoma" w:cs="Tahoma"/>
          <w:sz w:val="22"/>
          <w:szCs w:val="22"/>
          <w:lang w:eastAsia="es-CO"/>
        </w:rPr>
        <w:tab/>
        <w:t xml:space="preserve">            $  460.308</w:t>
      </w:r>
    </w:p>
    <w:p w:rsidR="00DC6CC7" w:rsidRPr="000D6884" w:rsidRDefault="00DC6CC7" w:rsidP="00DC6CC7">
      <w:pPr>
        <w:overflowPunct/>
        <w:autoSpaceDE/>
        <w:autoSpaceDN/>
        <w:adjustRightInd/>
        <w:spacing w:line="228" w:lineRule="auto"/>
        <w:textAlignment w:val="auto"/>
        <w:rPr>
          <w:rFonts w:ascii="Tahoma" w:eastAsia="Arial" w:hAnsi="Tahoma" w:cs="Tahoma"/>
          <w:sz w:val="22"/>
          <w:szCs w:val="22"/>
          <w:lang w:eastAsia="es-CO"/>
        </w:rPr>
      </w:pPr>
      <w:r w:rsidRPr="000D6884">
        <w:rPr>
          <w:rFonts w:ascii="Tahoma" w:eastAsia="Arial" w:hAnsi="Tahoma" w:cs="Tahoma"/>
          <w:sz w:val="22"/>
          <w:szCs w:val="22"/>
          <w:lang w:eastAsia="es-CO"/>
        </w:rPr>
        <w:t>Obligaciones Laborales</w:t>
      </w:r>
      <w:r w:rsidRPr="000D6884">
        <w:rPr>
          <w:rFonts w:ascii="Tahoma" w:eastAsia="Arial" w:hAnsi="Tahoma" w:cs="Tahoma"/>
          <w:sz w:val="22"/>
          <w:szCs w:val="22"/>
          <w:lang w:eastAsia="es-CO"/>
        </w:rPr>
        <w:tab/>
      </w:r>
      <w:r w:rsidRPr="000D6884">
        <w:rPr>
          <w:rFonts w:ascii="Tahoma" w:eastAsia="Arial" w:hAnsi="Tahoma" w:cs="Tahoma"/>
          <w:sz w:val="22"/>
          <w:szCs w:val="22"/>
          <w:lang w:eastAsia="es-CO"/>
        </w:rPr>
        <w:tab/>
      </w:r>
      <w:r w:rsidRPr="000D6884">
        <w:rPr>
          <w:rFonts w:ascii="Tahoma" w:eastAsia="Arial" w:hAnsi="Tahoma" w:cs="Tahoma"/>
          <w:sz w:val="22"/>
          <w:szCs w:val="22"/>
          <w:lang w:eastAsia="es-CO"/>
        </w:rPr>
        <w:tab/>
        <w:t xml:space="preserve">       50.545</w:t>
      </w:r>
    </w:p>
    <w:p w:rsidR="00DC6CC7" w:rsidRPr="000D6884" w:rsidRDefault="00DC6CC7" w:rsidP="00DC6CC7">
      <w:pPr>
        <w:overflowPunct/>
        <w:autoSpaceDE/>
        <w:autoSpaceDN/>
        <w:adjustRightInd/>
        <w:spacing w:line="228" w:lineRule="auto"/>
        <w:textAlignment w:val="auto"/>
        <w:rPr>
          <w:rFonts w:ascii="Tahoma" w:eastAsia="Arial" w:hAnsi="Tahoma" w:cs="Tahoma"/>
          <w:sz w:val="22"/>
          <w:szCs w:val="22"/>
          <w:lang w:eastAsia="es-CO"/>
        </w:rPr>
      </w:pPr>
      <w:r w:rsidRPr="000D6884">
        <w:rPr>
          <w:rFonts w:ascii="Tahoma" w:eastAsia="Arial" w:hAnsi="Tahoma" w:cs="Tahoma"/>
          <w:sz w:val="22"/>
          <w:szCs w:val="22"/>
          <w:lang w:eastAsia="es-CO"/>
        </w:rPr>
        <w:t xml:space="preserve">    </w:t>
      </w:r>
      <w:r w:rsidRPr="000D6884">
        <w:rPr>
          <w:rFonts w:ascii="Tahoma" w:eastAsia="Arial" w:hAnsi="Tahoma" w:cs="Tahoma"/>
          <w:sz w:val="22"/>
          <w:szCs w:val="22"/>
          <w:lang w:eastAsia="es-CO"/>
        </w:rPr>
        <w:tab/>
      </w:r>
      <w:r w:rsidRPr="000D6884">
        <w:rPr>
          <w:rFonts w:ascii="Tahoma" w:eastAsia="Arial" w:hAnsi="Tahoma" w:cs="Tahoma"/>
          <w:sz w:val="22"/>
          <w:szCs w:val="22"/>
          <w:lang w:eastAsia="es-CO"/>
        </w:rPr>
        <w:tab/>
      </w:r>
      <w:r w:rsidRPr="000D6884">
        <w:rPr>
          <w:rFonts w:ascii="Tahoma" w:eastAsia="Arial" w:hAnsi="Tahoma" w:cs="Tahoma"/>
          <w:sz w:val="22"/>
          <w:szCs w:val="22"/>
          <w:lang w:eastAsia="es-CO"/>
        </w:rPr>
        <w:tab/>
      </w:r>
      <w:r w:rsidRPr="000D6884">
        <w:rPr>
          <w:rFonts w:ascii="Tahoma" w:eastAsia="Arial" w:hAnsi="Tahoma" w:cs="Tahoma"/>
          <w:sz w:val="22"/>
          <w:szCs w:val="22"/>
          <w:lang w:eastAsia="es-CO"/>
        </w:rPr>
        <w:tab/>
      </w:r>
      <w:r w:rsidRPr="000D6884">
        <w:rPr>
          <w:rFonts w:ascii="Tahoma" w:eastAsia="Arial" w:hAnsi="Tahoma" w:cs="Tahoma"/>
          <w:sz w:val="22"/>
          <w:szCs w:val="22"/>
          <w:lang w:eastAsia="es-CO"/>
        </w:rPr>
        <w:tab/>
        <w:t xml:space="preserve">          -------------------</w:t>
      </w:r>
    </w:p>
    <w:p w:rsidR="00DC6CC7" w:rsidRPr="000D6884" w:rsidRDefault="00DC6CC7" w:rsidP="00DC6CC7">
      <w:pPr>
        <w:overflowPunct/>
        <w:autoSpaceDE/>
        <w:autoSpaceDN/>
        <w:adjustRightInd/>
        <w:spacing w:line="228" w:lineRule="auto"/>
        <w:textAlignment w:val="auto"/>
        <w:rPr>
          <w:rFonts w:ascii="Tahoma" w:eastAsia="Arial" w:hAnsi="Tahoma" w:cs="Tahoma"/>
          <w:sz w:val="22"/>
          <w:szCs w:val="22"/>
          <w:lang w:eastAsia="es-CO"/>
        </w:rPr>
      </w:pPr>
      <w:r w:rsidRPr="000D6884">
        <w:rPr>
          <w:rFonts w:ascii="Tahoma" w:eastAsia="Arial" w:hAnsi="Tahoma" w:cs="Tahoma"/>
          <w:sz w:val="22"/>
          <w:szCs w:val="22"/>
          <w:lang w:eastAsia="es-CO"/>
        </w:rPr>
        <w:tab/>
      </w:r>
      <w:r w:rsidRPr="000D6884">
        <w:rPr>
          <w:rFonts w:ascii="Tahoma" w:eastAsia="Arial" w:hAnsi="Tahoma" w:cs="Tahoma"/>
          <w:sz w:val="22"/>
          <w:szCs w:val="22"/>
          <w:lang w:eastAsia="es-CO"/>
        </w:rPr>
        <w:tab/>
      </w:r>
      <w:r w:rsidRPr="000D6884">
        <w:rPr>
          <w:rFonts w:ascii="Tahoma" w:eastAsia="Arial" w:hAnsi="Tahoma" w:cs="Tahoma"/>
          <w:sz w:val="22"/>
          <w:szCs w:val="22"/>
          <w:lang w:eastAsia="es-CO"/>
        </w:rPr>
        <w:tab/>
      </w:r>
      <w:r w:rsidRPr="000D6884">
        <w:rPr>
          <w:rFonts w:ascii="Tahoma" w:eastAsia="Arial" w:hAnsi="Tahoma" w:cs="Tahoma"/>
          <w:sz w:val="22"/>
          <w:szCs w:val="22"/>
          <w:lang w:eastAsia="es-CO"/>
        </w:rPr>
        <w:tab/>
      </w:r>
      <w:r w:rsidRPr="000D6884">
        <w:rPr>
          <w:rFonts w:ascii="Tahoma" w:eastAsia="Arial" w:hAnsi="Tahoma" w:cs="Tahoma"/>
          <w:sz w:val="22"/>
          <w:szCs w:val="22"/>
          <w:lang w:eastAsia="es-CO"/>
        </w:rPr>
        <w:tab/>
        <w:t xml:space="preserve">              $510.853</w:t>
      </w:r>
    </w:p>
    <w:p w:rsidR="00DC6CC7" w:rsidRPr="000D6884" w:rsidRDefault="00DC6CC7" w:rsidP="00DC6CC7">
      <w:pPr>
        <w:overflowPunct/>
        <w:autoSpaceDE/>
        <w:autoSpaceDN/>
        <w:adjustRightInd/>
        <w:spacing w:line="228" w:lineRule="auto"/>
        <w:textAlignment w:val="auto"/>
        <w:rPr>
          <w:rFonts w:ascii="Tahoma" w:eastAsia="Arial" w:hAnsi="Tahoma" w:cs="Tahoma"/>
          <w:sz w:val="22"/>
          <w:szCs w:val="22"/>
          <w:lang w:eastAsia="es-CO"/>
        </w:rPr>
      </w:pPr>
    </w:p>
    <w:p w:rsidR="00DC6CC7" w:rsidRPr="000D6884" w:rsidRDefault="00DC6CC7" w:rsidP="00DC6CC7">
      <w:pPr>
        <w:overflowPunct/>
        <w:autoSpaceDE/>
        <w:autoSpaceDN/>
        <w:adjustRightInd/>
        <w:spacing w:line="228" w:lineRule="auto"/>
        <w:textAlignment w:val="auto"/>
        <w:rPr>
          <w:rFonts w:ascii="Tahoma" w:eastAsia="Arial" w:hAnsi="Tahoma" w:cs="Tahoma"/>
          <w:sz w:val="22"/>
          <w:szCs w:val="22"/>
          <w:lang w:eastAsia="es-CO"/>
        </w:rPr>
      </w:pPr>
      <w:r w:rsidRPr="000D6884">
        <w:rPr>
          <w:rFonts w:ascii="Tahoma" w:eastAsia="Arial" w:hAnsi="Tahoma" w:cs="Tahoma"/>
          <w:sz w:val="22"/>
          <w:szCs w:val="22"/>
          <w:lang w:eastAsia="es-CO"/>
        </w:rPr>
        <w:t>Razón Corriente  $1.532.076 / $510.853 = 2.99</w:t>
      </w:r>
    </w:p>
    <w:p w:rsidR="00DC6CC7" w:rsidRPr="000D6884" w:rsidRDefault="00DC6CC7" w:rsidP="00DC6CC7">
      <w:pPr>
        <w:overflowPunct/>
        <w:autoSpaceDE/>
        <w:autoSpaceDN/>
        <w:adjustRightInd/>
        <w:spacing w:line="228" w:lineRule="auto"/>
        <w:textAlignment w:val="auto"/>
        <w:rPr>
          <w:rFonts w:ascii="Tahoma" w:eastAsia="Arial" w:hAnsi="Tahoma" w:cs="Tahoma"/>
          <w:sz w:val="22"/>
          <w:szCs w:val="22"/>
          <w:lang w:eastAsia="es-CO"/>
        </w:rPr>
      </w:pPr>
      <w:r w:rsidRPr="000D6884">
        <w:rPr>
          <w:rFonts w:ascii="Tahoma" w:eastAsia="Arial" w:hAnsi="Tahoma" w:cs="Tahoma"/>
          <w:sz w:val="22"/>
          <w:szCs w:val="22"/>
          <w:lang w:eastAsia="es-CO"/>
        </w:rPr>
        <w:t xml:space="preserve"> </w:t>
      </w:r>
    </w:p>
    <w:p w:rsidR="00DC6CC7" w:rsidRPr="00872FB6" w:rsidRDefault="00DC6CC7" w:rsidP="00DC6CC7">
      <w:pPr>
        <w:overflowPunct/>
        <w:autoSpaceDE/>
        <w:autoSpaceDN/>
        <w:adjustRightInd/>
        <w:spacing w:line="228" w:lineRule="auto"/>
        <w:textAlignment w:val="auto"/>
        <w:rPr>
          <w:rFonts w:ascii="Tahoma" w:eastAsia="Arial" w:hAnsi="Tahoma" w:cs="Tahoma"/>
          <w:color w:val="FF0000"/>
          <w:sz w:val="22"/>
          <w:szCs w:val="22"/>
          <w:lang w:eastAsia="es-CO"/>
        </w:rPr>
      </w:pP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r w:rsidRPr="000D6884">
        <w:rPr>
          <w:rFonts w:ascii="Tahoma" w:eastAsia="Arial" w:hAnsi="Tahoma" w:cs="Tahoma"/>
          <w:sz w:val="22"/>
          <w:szCs w:val="22"/>
          <w:lang w:eastAsia="es-CO"/>
        </w:rPr>
        <w:t>El anterior resultado nos muestra que por cada peso que la ESE “Hospital San José del Municipio de Ortega” debe a corto plazo, cuenta con $2.99  pesos en activos corriente para cubrirlos, lo que significa  la  liquidez de la entidad  para cubrir sus pasivos de corto plazo.</w:t>
      </w:r>
    </w:p>
    <w:p w:rsidR="00DC6CC7" w:rsidRPr="000D6884" w:rsidRDefault="00DC6CC7" w:rsidP="00BF5484">
      <w:pPr>
        <w:overflowPunct/>
        <w:autoSpaceDE/>
        <w:autoSpaceDN/>
        <w:adjustRightInd/>
        <w:spacing w:line="228" w:lineRule="auto"/>
        <w:textAlignment w:val="auto"/>
        <w:rPr>
          <w:rFonts w:ascii="Tahoma" w:eastAsia="Arial" w:hAnsi="Tahoma" w:cs="Tahoma"/>
          <w:noProof/>
          <w:sz w:val="22"/>
          <w:szCs w:val="22"/>
          <w:lang w:eastAsia="es-CO"/>
        </w:rPr>
      </w:pP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r w:rsidRPr="000D6884">
        <w:rPr>
          <w:rFonts w:ascii="Tahoma" w:eastAsia="Arial" w:hAnsi="Tahoma" w:cs="Tahoma"/>
          <w:sz w:val="22"/>
          <w:szCs w:val="22"/>
          <w:lang w:eastAsia="es-CO"/>
        </w:rPr>
        <w:t>CAPITAL NETO DE TRABAJO</w:t>
      </w: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r w:rsidRPr="000D6884">
        <w:rPr>
          <w:rFonts w:ascii="Tahoma" w:eastAsia="Arial" w:hAnsi="Tahoma" w:cs="Tahoma"/>
          <w:sz w:val="22"/>
          <w:szCs w:val="22"/>
          <w:lang w:eastAsia="es-CO"/>
        </w:rPr>
        <w:t>El capital neto de trabajo es el resultado de restar del activo corriente los pasivos a corto plazo de la entidad. El capital de trabajo se considera como aquellos recursos que necesita la entidad para operar.</w:t>
      </w: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r w:rsidRPr="000D6884">
        <w:rPr>
          <w:rFonts w:ascii="Tahoma" w:eastAsia="Arial" w:hAnsi="Tahoma" w:cs="Tahoma"/>
          <w:sz w:val="22"/>
          <w:szCs w:val="22"/>
          <w:lang w:eastAsia="es-CO"/>
        </w:rPr>
        <w:t>Formula: Activo Corriente – Pasivo Corriente</w:t>
      </w: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p>
    <w:p w:rsidR="00DC6CC7" w:rsidRPr="000D6884" w:rsidRDefault="00DC6CC7" w:rsidP="00DC6CC7">
      <w:pPr>
        <w:overflowPunct/>
        <w:autoSpaceDE/>
        <w:autoSpaceDN/>
        <w:adjustRightInd/>
        <w:spacing w:line="228" w:lineRule="auto"/>
        <w:textAlignment w:val="auto"/>
        <w:rPr>
          <w:rFonts w:ascii="Tahoma" w:eastAsia="Arial" w:hAnsi="Tahoma" w:cs="Tahoma"/>
          <w:sz w:val="22"/>
          <w:szCs w:val="22"/>
          <w:lang w:eastAsia="es-CO"/>
        </w:rPr>
      </w:pPr>
      <w:r w:rsidRPr="000D6884">
        <w:rPr>
          <w:rFonts w:ascii="Tahoma" w:eastAsia="Arial" w:hAnsi="Tahoma" w:cs="Tahoma"/>
          <w:sz w:val="22"/>
          <w:szCs w:val="22"/>
          <w:lang w:eastAsia="es-CO"/>
        </w:rPr>
        <w:t>$1.532.076 - $510.853 = $1.021.223</w:t>
      </w: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r w:rsidRPr="000D6884">
        <w:rPr>
          <w:rFonts w:ascii="Tahoma" w:eastAsia="Arial" w:hAnsi="Tahoma" w:cs="Tahoma"/>
          <w:sz w:val="22"/>
          <w:szCs w:val="22"/>
          <w:lang w:eastAsia="es-CO"/>
        </w:rPr>
        <w:t>El anterior resultado nos indica que la entidad cuenta con suficientes recursos propios para operar.</w:t>
      </w: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r w:rsidRPr="000D6884">
        <w:rPr>
          <w:rFonts w:ascii="Tahoma" w:eastAsia="Arial" w:hAnsi="Tahoma" w:cs="Tahoma"/>
          <w:sz w:val="22"/>
          <w:szCs w:val="22"/>
          <w:lang w:eastAsia="es-CO"/>
        </w:rPr>
        <w:t>NIVEL DE ENDEUDAMIENTO</w:t>
      </w: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r w:rsidRPr="000D6884">
        <w:rPr>
          <w:rFonts w:ascii="Tahoma" w:eastAsia="Arial" w:hAnsi="Tahoma" w:cs="Tahoma"/>
          <w:sz w:val="22"/>
          <w:szCs w:val="22"/>
          <w:lang w:eastAsia="es-CO"/>
        </w:rPr>
        <w:t>Este indicador nos presenta el porcentaje de participación de los acreedores dentro de los activos de la ESE Hospital San José del Municipio de Ortega.</w:t>
      </w: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r w:rsidRPr="000D6884">
        <w:rPr>
          <w:rFonts w:ascii="Tahoma" w:eastAsia="Arial" w:hAnsi="Tahoma" w:cs="Tahoma"/>
          <w:sz w:val="22"/>
          <w:szCs w:val="22"/>
          <w:lang w:eastAsia="es-CO"/>
        </w:rPr>
        <w:t>Formula: Pasivo Total con Terceros / Activo Total</w:t>
      </w: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r w:rsidRPr="000D6884">
        <w:rPr>
          <w:rFonts w:ascii="Tahoma" w:eastAsia="Arial" w:hAnsi="Tahoma" w:cs="Tahoma"/>
          <w:sz w:val="22"/>
          <w:szCs w:val="22"/>
          <w:lang w:eastAsia="es-CO"/>
        </w:rPr>
        <w:t>$510.853 /$6.628.385 = 7.70%</w:t>
      </w: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r w:rsidRPr="000D6884">
        <w:rPr>
          <w:rFonts w:ascii="Tahoma" w:eastAsia="Arial" w:hAnsi="Tahoma" w:cs="Tahoma"/>
          <w:sz w:val="22"/>
          <w:szCs w:val="22"/>
          <w:lang w:eastAsia="es-CO"/>
        </w:rPr>
        <w:t>El anterior resultado nos indica que del total de activos que posee la ESE Hospital San José del Municipio de Ortega, el 7.70% está siendo financiado por los acreedores.</w:t>
      </w: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r w:rsidRPr="000D6884">
        <w:rPr>
          <w:rFonts w:ascii="Tahoma" w:eastAsia="Arial" w:hAnsi="Tahoma" w:cs="Tahoma"/>
          <w:sz w:val="22"/>
          <w:szCs w:val="22"/>
          <w:lang w:eastAsia="es-CO"/>
        </w:rPr>
        <w:t>RAZÓN DEL PATRIMONIO</w:t>
      </w: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r w:rsidRPr="000D6884">
        <w:rPr>
          <w:rFonts w:ascii="Tahoma" w:eastAsia="Arial" w:hAnsi="Tahoma" w:cs="Tahoma"/>
          <w:sz w:val="22"/>
          <w:szCs w:val="22"/>
          <w:lang w:eastAsia="es-CO"/>
        </w:rPr>
        <w:t>Nos muestra hasta qué punto la entidad tiene independencia financiera ante sus acreedores, se determina dividiendo el valor del patrimonio entre el activo total.</w:t>
      </w: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r w:rsidRPr="000D6884">
        <w:rPr>
          <w:rFonts w:ascii="Tahoma" w:eastAsia="Arial" w:hAnsi="Tahoma" w:cs="Tahoma"/>
          <w:sz w:val="22"/>
          <w:szCs w:val="22"/>
          <w:lang w:eastAsia="es-CO"/>
        </w:rPr>
        <w:t>Formula: Patrimonio Total / Activo Total</w:t>
      </w: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r w:rsidRPr="000D6884">
        <w:rPr>
          <w:rFonts w:ascii="Tahoma" w:eastAsia="Arial" w:hAnsi="Tahoma" w:cs="Tahoma"/>
          <w:sz w:val="22"/>
          <w:szCs w:val="22"/>
          <w:lang w:eastAsia="es-CO"/>
        </w:rPr>
        <w:t>$6.047.006 /$6.628.385  = 91.22%</w:t>
      </w: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r w:rsidRPr="000D6884">
        <w:rPr>
          <w:rFonts w:ascii="Tahoma" w:eastAsia="Arial" w:hAnsi="Tahoma" w:cs="Tahoma"/>
          <w:sz w:val="22"/>
          <w:szCs w:val="22"/>
          <w:lang w:eastAsia="es-CO"/>
        </w:rPr>
        <w:t>El porcentaje establecido anteriormente nos indica que el  91.22% de los activos, están siendo financiados con capital propio.</w:t>
      </w: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p>
    <w:p w:rsidR="00DC6CC7" w:rsidRPr="000D6884" w:rsidRDefault="00DC6CC7" w:rsidP="00D361B0">
      <w:pPr>
        <w:overflowPunct/>
        <w:autoSpaceDE/>
        <w:autoSpaceDN/>
        <w:adjustRightInd/>
        <w:spacing w:line="228" w:lineRule="auto"/>
        <w:ind w:left="708" w:hanging="708"/>
        <w:jc w:val="both"/>
        <w:textAlignment w:val="auto"/>
        <w:rPr>
          <w:rFonts w:ascii="Tahoma" w:eastAsia="Arial" w:hAnsi="Tahoma" w:cs="Tahoma"/>
          <w:sz w:val="22"/>
          <w:szCs w:val="22"/>
          <w:lang w:eastAsia="es-CO"/>
        </w:rPr>
      </w:pP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p>
    <w:p w:rsidR="00DC6CC7" w:rsidRPr="000D6884" w:rsidRDefault="00DC6CC7" w:rsidP="00DC6CC7">
      <w:pPr>
        <w:numPr>
          <w:ilvl w:val="0"/>
          <w:numId w:val="11"/>
        </w:numPr>
        <w:overflowPunct/>
        <w:autoSpaceDE/>
        <w:autoSpaceDN/>
        <w:adjustRightInd/>
        <w:spacing w:before="100" w:after="40" w:line="228" w:lineRule="auto"/>
        <w:contextualSpacing/>
        <w:jc w:val="both"/>
        <w:textAlignment w:val="auto"/>
        <w:rPr>
          <w:rFonts w:ascii="Tahoma" w:eastAsia="Arial" w:hAnsi="Tahoma" w:cs="Tahoma"/>
          <w:b/>
          <w:sz w:val="22"/>
          <w:szCs w:val="22"/>
          <w:lang w:eastAsia="es-CO"/>
        </w:rPr>
      </w:pPr>
      <w:r w:rsidRPr="000D6884">
        <w:rPr>
          <w:rFonts w:ascii="Tahoma" w:eastAsia="Arial" w:hAnsi="Tahoma" w:cs="Tahoma"/>
          <w:b/>
          <w:sz w:val="22"/>
          <w:szCs w:val="22"/>
          <w:lang w:eastAsia="es-CO"/>
        </w:rPr>
        <w:t>CONCEPTUALIZACION SOBRE LOS ESTADOS FINANCIEROS 2015</w:t>
      </w: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r w:rsidRPr="000D6884">
        <w:rPr>
          <w:rFonts w:ascii="Tahoma" w:eastAsia="Arial" w:hAnsi="Tahoma" w:cs="Tahoma"/>
          <w:sz w:val="22"/>
          <w:szCs w:val="22"/>
          <w:lang w:eastAsia="es-CO"/>
        </w:rPr>
        <w:t xml:space="preserve">La ESE Hospital San José del Municipio de Ortega, de acuerdo con su Balance General terminado en la fecha 31 de diciembre de 2015, se observa que sus activos totales crecieron un 51.85% en la suma de  $6.628,3 (miles de $), con relación al periodo 2014. </w:t>
      </w: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r w:rsidRPr="000D6884">
        <w:rPr>
          <w:rFonts w:ascii="Tahoma" w:eastAsia="Arial" w:hAnsi="Tahoma" w:cs="Tahoma"/>
          <w:sz w:val="22"/>
          <w:szCs w:val="22"/>
          <w:lang w:eastAsia="es-CO"/>
        </w:rPr>
        <w:t>Su patrimonio creció un 52.31%, apalancado principalmente por la cuenta “Resultado del Ejercicio” que  finalizó la anualidad 2015, con un excedente en el periodo contable  de $5.518,3 millones después de haber finalizado el 2014 en $612 millones.</w:t>
      </w: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r w:rsidRPr="000D6884">
        <w:rPr>
          <w:rFonts w:ascii="Tahoma" w:eastAsia="Arial" w:hAnsi="Tahoma" w:cs="Tahoma"/>
          <w:sz w:val="22"/>
          <w:szCs w:val="22"/>
          <w:lang w:eastAsia="es-CO"/>
        </w:rPr>
        <w:t xml:space="preserve"> </w:t>
      </w: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r w:rsidRPr="000D6884">
        <w:rPr>
          <w:rFonts w:ascii="Tahoma" w:eastAsia="Arial" w:hAnsi="Tahoma" w:cs="Tahoma"/>
          <w:sz w:val="22"/>
          <w:szCs w:val="22"/>
          <w:lang w:eastAsia="es-CO"/>
        </w:rPr>
        <w:t>Su estructura financiera al cierre del periodo contable 2015, estaba representada en el 8.77% los pasivos y el 91.22% el patrimonio.</w:t>
      </w: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r w:rsidRPr="000D6884">
        <w:rPr>
          <w:rFonts w:ascii="Tahoma" w:eastAsia="Arial" w:hAnsi="Tahoma" w:cs="Tahoma"/>
          <w:sz w:val="22"/>
          <w:szCs w:val="22"/>
          <w:lang w:eastAsia="es-CO"/>
        </w:rPr>
        <w:t>La entidad  presenta un nivel de endeudamiento bajo respecto al total de sus activos, alcanzando un margen del 7.70%.</w:t>
      </w: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p>
    <w:p w:rsidR="00DC6CC7" w:rsidRPr="000D6884" w:rsidRDefault="00DC6CC7" w:rsidP="00DC6CC7">
      <w:pPr>
        <w:overflowPunct/>
        <w:autoSpaceDE/>
        <w:autoSpaceDN/>
        <w:adjustRightInd/>
        <w:spacing w:line="228" w:lineRule="auto"/>
        <w:jc w:val="both"/>
        <w:textAlignment w:val="auto"/>
        <w:rPr>
          <w:rFonts w:ascii="Tahoma" w:eastAsia="Arial" w:hAnsi="Tahoma" w:cs="Tahoma"/>
          <w:sz w:val="22"/>
          <w:szCs w:val="22"/>
          <w:lang w:eastAsia="es-CO"/>
        </w:rPr>
      </w:pPr>
      <w:r w:rsidRPr="000D6884">
        <w:rPr>
          <w:rFonts w:ascii="Tahoma" w:eastAsia="Arial" w:hAnsi="Tahoma" w:cs="Tahoma"/>
          <w:sz w:val="22"/>
          <w:szCs w:val="22"/>
          <w:lang w:eastAsia="es-CO"/>
        </w:rPr>
        <w:t>De acuerdo con los resultados de sus indicadores podemos concluir que la ESE Hospital San José del Municipio de Ortega  al corte del 31 de diciembre de 2015, presentaba una situación financiera favorable.</w:t>
      </w:r>
    </w:p>
    <w:p w:rsidR="00DC6CC7" w:rsidRPr="000D6884" w:rsidRDefault="00DC6CC7" w:rsidP="00BF5484">
      <w:pPr>
        <w:overflowPunct/>
        <w:autoSpaceDE/>
        <w:autoSpaceDN/>
        <w:adjustRightInd/>
        <w:spacing w:line="228" w:lineRule="auto"/>
        <w:textAlignment w:val="auto"/>
        <w:rPr>
          <w:rFonts w:ascii="Tahoma" w:eastAsia="Arial" w:hAnsi="Tahoma" w:cs="Tahoma"/>
          <w:noProof/>
          <w:sz w:val="22"/>
          <w:szCs w:val="22"/>
          <w:lang w:eastAsia="es-CO"/>
        </w:rPr>
      </w:pPr>
    </w:p>
    <w:sectPr w:rsidR="00DC6CC7" w:rsidRPr="000D6884" w:rsidSect="00950885">
      <w:headerReference w:type="default" r:id="rId12"/>
      <w:footerReference w:type="default" r:id="rId13"/>
      <w:pgSz w:w="12240" w:h="15840" w:code="1"/>
      <w:pgMar w:top="2340" w:right="1418" w:bottom="2268" w:left="1758" w:header="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214E" w:rsidRDefault="0087214E" w:rsidP="00650A99">
      <w:r>
        <w:separator/>
      </w:r>
    </w:p>
  </w:endnote>
  <w:endnote w:type="continuationSeparator" w:id="0">
    <w:p w:rsidR="0087214E" w:rsidRDefault="0087214E" w:rsidP="00650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646E" w:rsidRDefault="006C646E" w:rsidP="00650A99">
    <w:pPr>
      <w:pStyle w:val="Piedepgina"/>
      <w:jc w:val="center"/>
      <w:rPr>
        <w:rFonts w:cs="Arial"/>
        <w:sz w:val="20"/>
      </w:rPr>
    </w:pPr>
    <w:r>
      <w:rPr>
        <w:rFonts w:cs="Arial"/>
        <w:sz w:val="20"/>
      </w:rPr>
      <w:t>______________________________________________________________</w:t>
    </w:r>
  </w:p>
  <w:p w:rsidR="006C646E" w:rsidRPr="002059E3" w:rsidRDefault="006C646E" w:rsidP="00650A99">
    <w:pPr>
      <w:pStyle w:val="Piedepgina"/>
      <w:jc w:val="center"/>
      <w:rPr>
        <w:rFonts w:cs="Arial"/>
        <w:sz w:val="20"/>
      </w:rPr>
    </w:pPr>
    <w:r>
      <w:rPr>
        <w:noProof/>
        <w:lang w:eastAsia="es-CO"/>
      </w:rPr>
      <mc:AlternateContent>
        <mc:Choice Requires="wps">
          <w:drawing>
            <wp:anchor distT="0" distB="0" distL="114300" distR="114300" simplePos="0" relativeHeight="251673600" behindDoc="0" locked="0" layoutInCell="1" allowOverlap="1" wp14:anchorId="3109CB17" wp14:editId="5FC0FBC2">
              <wp:simplePos x="0" y="0"/>
              <wp:positionH relativeFrom="column">
                <wp:posOffset>4246245</wp:posOffset>
              </wp:positionH>
              <wp:positionV relativeFrom="paragraph">
                <wp:posOffset>114300</wp:posOffset>
              </wp:positionV>
              <wp:extent cx="2302510" cy="955040"/>
              <wp:effectExtent l="0" t="0" r="0" b="0"/>
              <wp:wrapNone/>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2510" cy="955040"/>
                      </a:xfrm>
                      <a:prstGeom prst="rect">
                        <a:avLst/>
                      </a:prstGeom>
                      <a:noFill/>
                      <a:ln w="9525">
                        <a:noFill/>
                        <a:miter lim="800000"/>
                        <a:headEnd/>
                        <a:tailEnd/>
                      </a:ln>
                    </wps:spPr>
                    <wps:txbx>
                      <w:txbxContent>
                        <w:p w:rsidR="006C646E" w:rsidRDefault="006C646E"/>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109CB17" id="_x0000_t202" coordsize="21600,21600" o:spt="202" path="m,l,21600r21600,l21600,xe">
              <v:stroke joinstyle="miter"/>
              <v:path gradientshapeok="t" o:connecttype="rect"/>
            </v:shapetype>
            <v:shape id="_x0000_s1027" type="#_x0000_t202" style="position:absolute;left:0;text-align:left;margin-left:334.35pt;margin-top:9pt;width:181.3pt;height:75.2pt;z-index:25167360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" filled="f" stroked="f">
              <v:textbox style="mso-fit-shape-to-text:t">
                <w:txbxContent>
                  <w:p w:rsidR="006C646E" w:rsidRDefault="006C646E"/>
                </w:txbxContent>
              </v:textbox>
            </v:shape>
          </w:pict>
        </mc:Fallback>
      </mc:AlternateContent>
    </w:r>
    <w:r w:rsidRPr="002059E3">
      <w:rPr>
        <w:rFonts w:cs="Arial"/>
        <w:sz w:val="20"/>
      </w:rPr>
      <w:t xml:space="preserve">Edificio Gobernación del Tolima Piso 7 </w:t>
    </w:r>
    <w:r>
      <w:rPr>
        <w:rFonts w:cs="Arial"/>
        <w:sz w:val="20"/>
      </w:rPr>
      <w:t xml:space="preserve">- </w:t>
    </w:r>
    <w:r w:rsidRPr="002059E3">
      <w:rPr>
        <w:rFonts w:cs="Arial"/>
        <w:sz w:val="20"/>
      </w:rPr>
      <w:t>Conmutador 2 61 11 67 Ibagué</w:t>
    </w:r>
  </w:p>
  <w:p w:rsidR="006C646E" w:rsidRPr="002059E3" w:rsidRDefault="006C646E" w:rsidP="00650A99">
    <w:pPr>
      <w:pStyle w:val="Piedepgina"/>
      <w:jc w:val="center"/>
      <w:rPr>
        <w:rFonts w:cs="Arial"/>
        <w:sz w:val="20"/>
        <w:lang w:val="en-US"/>
      </w:rPr>
    </w:pPr>
    <w:r w:rsidRPr="002059E3">
      <w:rPr>
        <w:rFonts w:cs="Arial"/>
        <w:sz w:val="20"/>
        <w:lang w:val="en-US"/>
      </w:rPr>
      <w:t xml:space="preserve">Web-site: </w:t>
    </w:r>
    <w:hyperlink r:id="rId1" w:history="1">
      <w:r w:rsidRPr="00650A99">
        <w:rPr>
          <w:rStyle w:val="Hipervnculo"/>
          <w:rFonts w:cs="Arial"/>
          <w:color w:val="auto"/>
          <w:sz w:val="20"/>
          <w:u w:val="none"/>
          <w:lang w:val="en-US"/>
        </w:rPr>
        <w:t>www.contraloriatolima.gov.co</w:t>
      </w:r>
    </w:hyperlink>
  </w:p>
  <w:p w:rsidR="006C646E" w:rsidRPr="0070120A" w:rsidRDefault="006C646E">
    <w:pPr>
      <w:pStyle w:val="Piedepgina"/>
      <w:rPr>
        <w:lang w:val="en-US"/>
      </w:rPr>
    </w:pPr>
    <w:r>
      <w:rPr>
        <w:lang w:val="en-US"/>
      </w:rPr>
      <w:t xml:space="preserve">                        </w:t>
    </w:r>
    <w:r>
      <w:rPr>
        <w:lang w:val="en-US"/>
      </w:rPr>
      <w:tab/>
    </w:r>
    <w:r>
      <w:rPr>
        <w:lang w:val="en-US"/>
      </w:rPr>
      <w:tab/>
      <w:t xml:space="preserve">                     </w:t>
    </w:r>
    <w:r>
      <w:rPr>
        <w:lang w:val="en-US"/>
      </w:rPr>
      <w:tab/>
    </w:r>
    <w:r>
      <w:rPr>
        <w:lang w:val="en-US"/>
      </w:rPr>
      <w:tab/>
    </w:r>
    <w:r>
      <w:rPr>
        <w:lang w:val="en-US"/>
      </w:rPr>
      <w:tab/>
    </w:r>
    <w:r>
      <w:rPr>
        <w:lang w:val="en-U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214E" w:rsidRDefault="0087214E" w:rsidP="00650A99">
      <w:r>
        <w:separator/>
      </w:r>
    </w:p>
  </w:footnote>
  <w:footnote w:type="continuationSeparator" w:id="0">
    <w:p w:rsidR="0087214E" w:rsidRDefault="0087214E" w:rsidP="00650A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0885" w:rsidRDefault="006C646E">
    <w:pPr>
      <w:pStyle w:val="Encabezado"/>
      <w:rPr>
        <w:noProof/>
        <w:lang w:eastAsia="es-CO"/>
      </w:rPr>
    </w:pPr>
    <w:r>
      <w:rPr>
        <w:noProof/>
        <w:lang w:eastAsia="es-CO"/>
      </w:rPr>
      <mc:AlternateContent>
        <mc:Choice Requires="wps">
          <w:drawing>
            <wp:anchor distT="0" distB="0" distL="114300" distR="114300" simplePos="0" relativeHeight="251677696" behindDoc="0" locked="0" layoutInCell="1" allowOverlap="1" wp14:anchorId="795642D8" wp14:editId="7D4F5A3E">
              <wp:simplePos x="0" y="0"/>
              <wp:positionH relativeFrom="column">
                <wp:posOffset>5981700</wp:posOffset>
              </wp:positionH>
              <wp:positionV relativeFrom="paragraph">
                <wp:posOffset>2516505</wp:posOffset>
              </wp:positionV>
              <wp:extent cx="772795" cy="5320030"/>
              <wp:effectExtent l="0" t="0" r="0" b="508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2795" cy="5320030"/>
                      </a:xfrm>
                      <a:prstGeom prst="rect">
                        <a:avLst/>
                      </a:prstGeom>
                      <a:noFill/>
                      <a:ln w="9525">
                        <a:noFill/>
                        <a:miter lim="800000"/>
                        <a:headEnd/>
                        <a:tailEnd/>
                      </a:ln>
                    </wps:spPr>
                    <wps:txbx>
                      <w:txbxContent>
                        <w:p w:rsidR="006C646E" w:rsidRDefault="006C646E"/>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95642D8" id="_x0000_t202" coordsize="21600,21600" o:spt="202" path="m,l,21600r21600,l21600,xe">
              <v:stroke joinstyle="miter"/>
              <v:path gradientshapeok="t" o:connecttype="rect"/>
            </v:shapetype>
            <v:shape id="Cuadro de texto 2" o:spid="_x0000_s1026" type="#_x0000_t202" style="position:absolute;margin-left:471pt;margin-top:198.15pt;width:60.85pt;height:418.9pt;z-index:2516776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" filled="f" stroked="f">
              <v:textbox style="mso-fit-shape-to-text:t">
                <w:txbxContent>
                  <w:p w:rsidR="006C646E" w:rsidRDefault="006C646E"/>
                </w:txbxContent>
              </v:textbox>
            </v:shape>
          </w:pict>
        </mc:Fallback>
      </mc:AlternateContent>
    </w:r>
  </w:p>
  <w:p w:rsidR="006C646E" w:rsidRDefault="00950885">
    <w:pPr>
      <w:pStyle w:val="Encabezado"/>
    </w:pPr>
    <w:r>
      <w:rPr>
        <w:noProof/>
        <w:lang w:eastAsia="es-CO"/>
      </w:rPr>
      <w:drawing>
        <wp:inline distT="0" distB="0" distL="0" distR="0" wp14:anchorId="6845ED70" wp14:editId="5DB2D7B3">
          <wp:extent cx="1571625" cy="1219200"/>
          <wp:effectExtent l="0" t="0" r="9525"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cudo Contraloria.png"/>
                  <pic:cNvPicPr/>
                </pic:nvPicPr>
                <pic:blipFill>
                  <a:blip r:embed="rId1">
                    <a:extLst>
                      <a:ext uri="{28A0092B-C50C-407E-A947-70E740481C1C}">
                        <a14:useLocalDpi xmlns:a14="http://schemas.microsoft.com/office/drawing/2010/main" val="0"/>
                      </a:ext>
                    </a:extLst>
                  </a:blip>
                  <a:stretch>
                    <a:fillRect/>
                  </a:stretch>
                </pic:blipFill>
                <pic:spPr>
                  <a:xfrm>
                    <a:off x="0" y="0"/>
                    <a:ext cx="1571625" cy="12192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244A86"/>
    <w:multiLevelType w:val="multilevel"/>
    <w:tmpl w:val="000C0EF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7927A80"/>
    <w:multiLevelType w:val="hybridMultilevel"/>
    <w:tmpl w:val="B220F46E"/>
    <w:lvl w:ilvl="0" w:tplc="240A0009">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278422C0"/>
    <w:multiLevelType w:val="hybridMultilevel"/>
    <w:tmpl w:val="920E93BE"/>
    <w:lvl w:ilvl="0" w:tplc="579A0282">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408611DE"/>
    <w:multiLevelType w:val="hybridMultilevel"/>
    <w:tmpl w:val="2FE027E4"/>
    <w:lvl w:ilvl="0" w:tplc="24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14A5982"/>
    <w:multiLevelType w:val="hybridMultilevel"/>
    <w:tmpl w:val="4816C77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64FF467D"/>
    <w:multiLevelType w:val="hybridMultilevel"/>
    <w:tmpl w:val="DEB09BFE"/>
    <w:lvl w:ilvl="0" w:tplc="240A0009">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698033D0"/>
    <w:multiLevelType w:val="multilevel"/>
    <w:tmpl w:val="000C0EF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6C0D7B69"/>
    <w:multiLevelType w:val="hybridMultilevel"/>
    <w:tmpl w:val="B3346AAC"/>
    <w:lvl w:ilvl="0" w:tplc="24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732346FF"/>
    <w:multiLevelType w:val="multilevel"/>
    <w:tmpl w:val="000C0EF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5260F29"/>
    <w:multiLevelType w:val="hybridMultilevel"/>
    <w:tmpl w:val="B91034D4"/>
    <w:lvl w:ilvl="0" w:tplc="240A0009">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7601466A"/>
    <w:multiLevelType w:val="hybridMultilevel"/>
    <w:tmpl w:val="02582F7A"/>
    <w:lvl w:ilvl="0" w:tplc="240A0009">
      <w:start w:val="1"/>
      <w:numFmt w:val="bullet"/>
      <w:lvlText w:val=""/>
      <w:lvlJc w:val="left"/>
      <w:pPr>
        <w:ind w:left="780" w:hanging="360"/>
      </w:pPr>
      <w:rPr>
        <w:rFonts w:ascii="Wingdings" w:hAnsi="Wingdings"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num w:numId="1">
    <w:abstractNumId w:val="2"/>
  </w:num>
  <w:num w:numId="2">
    <w:abstractNumId w:val="4"/>
  </w:num>
  <w:num w:numId="3">
    <w:abstractNumId w:val="7"/>
  </w:num>
  <w:num w:numId="4">
    <w:abstractNumId w:val="3"/>
  </w:num>
  <w:num w:numId="5">
    <w:abstractNumId w:val="10"/>
  </w:num>
  <w:num w:numId="6">
    <w:abstractNumId w:val="9"/>
  </w:num>
  <w:num w:numId="7">
    <w:abstractNumId w:val="5"/>
  </w:num>
  <w:num w:numId="8">
    <w:abstractNumId w:val="1"/>
  </w:num>
  <w:num w:numId="9">
    <w:abstractNumId w:val="6"/>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A99"/>
    <w:rsid w:val="00000A8D"/>
    <w:rsid w:val="00000B8E"/>
    <w:rsid w:val="000019BB"/>
    <w:rsid w:val="00003469"/>
    <w:rsid w:val="00004EFE"/>
    <w:rsid w:val="000072CF"/>
    <w:rsid w:val="000117D2"/>
    <w:rsid w:val="000130C3"/>
    <w:rsid w:val="00014ACF"/>
    <w:rsid w:val="000217D4"/>
    <w:rsid w:val="00021A39"/>
    <w:rsid w:val="00027130"/>
    <w:rsid w:val="0004099C"/>
    <w:rsid w:val="00041446"/>
    <w:rsid w:val="000535CD"/>
    <w:rsid w:val="0007160A"/>
    <w:rsid w:val="00074463"/>
    <w:rsid w:val="0007576E"/>
    <w:rsid w:val="00076BDD"/>
    <w:rsid w:val="00081740"/>
    <w:rsid w:val="000821B0"/>
    <w:rsid w:val="000838AC"/>
    <w:rsid w:val="00090716"/>
    <w:rsid w:val="00090B89"/>
    <w:rsid w:val="00093F81"/>
    <w:rsid w:val="000958F8"/>
    <w:rsid w:val="000A21B0"/>
    <w:rsid w:val="000A35EE"/>
    <w:rsid w:val="000A663C"/>
    <w:rsid w:val="000A700E"/>
    <w:rsid w:val="000A7378"/>
    <w:rsid w:val="000B2584"/>
    <w:rsid w:val="000C09CE"/>
    <w:rsid w:val="000C640F"/>
    <w:rsid w:val="000D0047"/>
    <w:rsid w:val="000D1303"/>
    <w:rsid w:val="000D2EBC"/>
    <w:rsid w:val="000D6884"/>
    <w:rsid w:val="000D715E"/>
    <w:rsid w:val="000F44CF"/>
    <w:rsid w:val="00104CEB"/>
    <w:rsid w:val="00112B99"/>
    <w:rsid w:val="00113CF5"/>
    <w:rsid w:val="00113DE4"/>
    <w:rsid w:val="001161F0"/>
    <w:rsid w:val="00121180"/>
    <w:rsid w:val="0012306F"/>
    <w:rsid w:val="001516AB"/>
    <w:rsid w:val="001519FB"/>
    <w:rsid w:val="00152640"/>
    <w:rsid w:val="00157288"/>
    <w:rsid w:val="0016040E"/>
    <w:rsid w:val="00162CEF"/>
    <w:rsid w:val="00163002"/>
    <w:rsid w:val="00174E6E"/>
    <w:rsid w:val="001805CB"/>
    <w:rsid w:val="00182A35"/>
    <w:rsid w:val="00183C1E"/>
    <w:rsid w:val="00185C21"/>
    <w:rsid w:val="001938E9"/>
    <w:rsid w:val="00194373"/>
    <w:rsid w:val="001A20F2"/>
    <w:rsid w:val="001A3545"/>
    <w:rsid w:val="001A5473"/>
    <w:rsid w:val="001A61B3"/>
    <w:rsid w:val="001A7189"/>
    <w:rsid w:val="001B1DB0"/>
    <w:rsid w:val="001B5B29"/>
    <w:rsid w:val="001B7A73"/>
    <w:rsid w:val="001C0B81"/>
    <w:rsid w:val="001C79A8"/>
    <w:rsid w:val="001D3C2E"/>
    <w:rsid w:val="001D660F"/>
    <w:rsid w:val="001E14B0"/>
    <w:rsid w:val="001E7AB9"/>
    <w:rsid w:val="001F3C0E"/>
    <w:rsid w:val="002069BC"/>
    <w:rsid w:val="002073DA"/>
    <w:rsid w:val="0021591A"/>
    <w:rsid w:val="00220B24"/>
    <w:rsid w:val="00221713"/>
    <w:rsid w:val="00235817"/>
    <w:rsid w:val="00250B2A"/>
    <w:rsid w:val="00255576"/>
    <w:rsid w:val="00257814"/>
    <w:rsid w:val="002635A9"/>
    <w:rsid w:val="00263CD8"/>
    <w:rsid w:val="00274C25"/>
    <w:rsid w:val="00275575"/>
    <w:rsid w:val="002850B9"/>
    <w:rsid w:val="00286913"/>
    <w:rsid w:val="002926DD"/>
    <w:rsid w:val="00293B22"/>
    <w:rsid w:val="00294220"/>
    <w:rsid w:val="002A42D6"/>
    <w:rsid w:val="002A4F19"/>
    <w:rsid w:val="002A7D28"/>
    <w:rsid w:val="002B4A1D"/>
    <w:rsid w:val="002B58D3"/>
    <w:rsid w:val="002B6196"/>
    <w:rsid w:val="002B72C0"/>
    <w:rsid w:val="002C24CB"/>
    <w:rsid w:val="002C5659"/>
    <w:rsid w:val="002D7ABD"/>
    <w:rsid w:val="002E0A85"/>
    <w:rsid w:val="002E0CD6"/>
    <w:rsid w:val="002E149D"/>
    <w:rsid w:val="002E35FF"/>
    <w:rsid w:val="002F1CDE"/>
    <w:rsid w:val="002F2963"/>
    <w:rsid w:val="002F450A"/>
    <w:rsid w:val="003026A2"/>
    <w:rsid w:val="00311E11"/>
    <w:rsid w:val="0031353A"/>
    <w:rsid w:val="00330D9F"/>
    <w:rsid w:val="00332DE4"/>
    <w:rsid w:val="00336502"/>
    <w:rsid w:val="0034307B"/>
    <w:rsid w:val="00345DA3"/>
    <w:rsid w:val="00355DEA"/>
    <w:rsid w:val="003676BD"/>
    <w:rsid w:val="00372B52"/>
    <w:rsid w:val="0039028E"/>
    <w:rsid w:val="00393268"/>
    <w:rsid w:val="00396B50"/>
    <w:rsid w:val="003A30FD"/>
    <w:rsid w:val="003B2A90"/>
    <w:rsid w:val="003B4724"/>
    <w:rsid w:val="003B4888"/>
    <w:rsid w:val="003C2A09"/>
    <w:rsid w:val="003C2A41"/>
    <w:rsid w:val="003C2D61"/>
    <w:rsid w:val="003C593C"/>
    <w:rsid w:val="003C752B"/>
    <w:rsid w:val="003D6671"/>
    <w:rsid w:val="003F0ACE"/>
    <w:rsid w:val="003F2976"/>
    <w:rsid w:val="003F34BF"/>
    <w:rsid w:val="00407637"/>
    <w:rsid w:val="0041524D"/>
    <w:rsid w:val="00417199"/>
    <w:rsid w:val="004241DF"/>
    <w:rsid w:val="004323B1"/>
    <w:rsid w:val="0043253D"/>
    <w:rsid w:val="00445C89"/>
    <w:rsid w:val="00450899"/>
    <w:rsid w:val="00452199"/>
    <w:rsid w:val="00453D55"/>
    <w:rsid w:val="004578CD"/>
    <w:rsid w:val="00461E50"/>
    <w:rsid w:val="004660F0"/>
    <w:rsid w:val="00467508"/>
    <w:rsid w:val="00487A7E"/>
    <w:rsid w:val="00490DF5"/>
    <w:rsid w:val="00495DA5"/>
    <w:rsid w:val="004A5FE3"/>
    <w:rsid w:val="004A734B"/>
    <w:rsid w:val="004B15B3"/>
    <w:rsid w:val="004B5EDD"/>
    <w:rsid w:val="004C165C"/>
    <w:rsid w:val="004C250E"/>
    <w:rsid w:val="004C27B6"/>
    <w:rsid w:val="004C785D"/>
    <w:rsid w:val="004D14D1"/>
    <w:rsid w:val="004D35FA"/>
    <w:rsid w:val="004D3A1F"/>
    <w:rsid w:val="004D4F03"/>
    <w:rsid w:val="004E02C0"/>
    <w:rsid w:val="004E07C8"/>
    <w:rsid w:val="004E0F8B"/>
    <w:rsid w:val="004E3E8F"/>
    <w:rsid w:val="004E40C2"/>
    <w:rsid w:val="004F1A7B"/>
    <w:rsid w:val="00504D33"/>
    <w:rsid w:val="005061FB"/>
    <w:rsid w:val="0050697C"/>
    <w:rsid w:val="00510E7C"/>
    <w:rsid w:val="0051243E"/>
    <w:rsid w:val="00514297"/>
    <w:rsid w:val="00516E68"/>
    <w:rsid w:val="00525494"/>
    <w:rsid w:val="005263C4"/>
    <w:rsid w:val="005269D1"/>
    <w:rsid w:val="005279E8"/>
    <w:rsid w:val="00534CCA"/>
    <w:rsid w:val="005403FC"/>
    <w:rsid w:val="00543B53"/>
    <w:rsid w:val="005476F8"/>
    <w:rsid w:val="005717BB"/>
    <w:rsid w:val="00577E22"/>
    <w:rsid w:val="00585ED0"/>
    <w:rsid w:val="005916D2"/>
    <w:rsid w:val="005A195E"/>
    <w:rsid w:val="005A229D"/>
    <w:rsid w:val="005A44C1"/>
    <w:rsid w:val="005B1D03"/>
    <w:rsid w:val="005B3C82"/>
    <w:rsid w:val="005B4176"/>
    <w:rsid w:val="005B6F12"/>
    <w:rsid w:val="005B78F1"/>
    <w:rsid w:val="005C03F3"/>
    <w:rsid w:val="005C0510"/>
    <w:rsid w:val="005C3F52"/>
    <w:rsid w:val="005D3820"/>
    <w:rsid w:val="005D3B86"/>
    <w:rsid w:val="005D522A"/>
    <w:rsid w:val="005E3E06"/>
    <w:rsid w:val="005E6651"/>
    <w:rsid w:val="005F79D0"/>
    <w:rsid w:val="0060098E"/>
    <w:rsid w:val="00603A5B"/>
    <w:rsid w:val="00610738"/>
    <w:rsid w:val="006119D2"/>
    <w:rsid w:val="00611CD4"/>
    <w:rsid w:val="00620019"/>
    <w:rsid w:val="0064258A"/>
    <w:rsid w:val="00647501"/>
    <w:rsid w:val="00647C52"/>
    <w:rsid w:val="00650A99"/>
    <w:rsid w:val="00651656"/>
    <w:rsid w:val="0066510A"/>
    <w:rsid w:val="006657DE"/>
    <w:rsid w:val="00666D64"/>
    <w:rsid w:val="00670BFD"/>
    <w:rsid w:val="00670D69"/>
    <w:rsid w:val="00671108"/>
    <w:rsid w:val="006721B9"/>
    <w:rsid w:val="00672722"/>
    <w:rsid w:val="00682D86"/>
    <w:rsid w:val="0068585F"/>
    <w:rsid w:val="00695308"/>
    <w:rsid w:val="00697DBE"/>
    <w:rsid w:val="006A0986"/>
    <w:rsid w:val="006A0C9D"/>
    <w:rsid w:val="006A2B08"/>
    <w:rsid w:val="006A644E"/>
    <w:rsid w:val="006A7F84"/>
    <w:rsid w:val="006B1954"/>
    <w:rsid w:val="006B2D4A"/>
    <w:rsid w:val="006C646E"/>
    <w:rsid w:val="006D2B4A"/>
    <w:rsid w:val="006E67AA"/>
    <w:rsid w:val="006F60C7"/>
    <w:rsid w:val="006F7409"/>
    <w:rsid w:val="0070120A"/>
    <w:rsid w:val="00702EBF"/>
    <w:rsid w:val="00704A4B"/>
    <w:rsid w:val="00711D75"/>
    <w:rsid w:val="00715C57"/>
    <w:rsid w:val="00716D8B"/>
    <w:rsid w:val="0072625D"/>
    <w:rsid w:val="007332AA"/>
    <w:rsid w:val="007437D3"/>
    <w:rsid w:val="007477E5"/>
    <w:rsid w:val="0075442C"/>
    <w:rsid w:val="00760EB4"/>
    <w:rsid w:val="00776F62"/>
    <w:rsid w:val="0077701F"/>
    <w:rsid w:val="007865C6"/>
    <w:rsid w:val="0078696E"/>
    <w:rsid w:val="007912E3"/>
    <w:rsid w:val="00794564"/>
    <w:rsid w:val="00797898"/>
    <w:rsid w:val="007A1260"/>
    <w:rsid w:val="007B70F7"/>
    <w:rsid w:val="007C31D2"/>
    <w:rsid w:val="007D0E2B"/>
    <w:rsid w:val="007D1DDA"/>
    <w:rsid w:val="007D58CA"/>
    <w:rsid w:val="007D70DE"/>
    <w:rsid w:val="007F2EE4"/>
    <w:rsid w:val="007F5F77"/>
    <w:rsid w:val="00802A37"/>
    <w:rsid w:val="00803A7B"/>
    <w:rsid w:val="008107C3"/>
    <w:rsid w:val="008138A1"/>
    <w:rsid w:val="00815D8C"/>
    <w:rsid w:val="00821F08"/>
    <w:rsid w:val="00823FDF"/>
    <w:rsid w:val="00825477"/>
    <w:rsid w:val="00833641"/>
    <w:rsid w:val="008378AE"/>
    <w:rsid w:val="00851407"/>
    <w:rsid w:val="00852E5E"/>
    <w:rsid w:val="00860564"/>
    <w:rsid w:val="008642AA"/>
    <w:rsid w:val="00864D05"/>
    <w:rsid w:val="0087214E"/>
    <w:rsid w:val="00872FB6"/>
    <w:rsid w:val="0087550C"/>
    <w:rsid w:val="008764E7"/>
    <w:rsid w:val="008771E2"/>
    <w:rsid w:val="008825A8"/>
    <w:rsid w:val="00882C42"/>
    <w:rsid w:val="00885BB4"/>
    <w:rsid w:val="00886FEF"/>
    <w:rsid w:val="00890A2C"/>
    <w:rsid w:val="0089470E"/>
    <w:rsid w:val="008A74A1"/>
    <w:rsid w:val="008B5141"/>
    <w:rsid w:val="008C04B8"/>
    <w:rsid w:val="008C2E42"/>
    <w:rsid w:val="008C6D0A"/>
    <w:rsid w:val="008E126F"/>
    <w:rsid w:val="008F3A72"/>
    <w:rsid w:val="00903AE4"/>
    <w:rsid w:val="009108B1"/>
    <w:rsid w:val="0091158B"/>
    <w:rsid w:val="0091337D"/>
    <w:rsid w:val="009150E9"/>
    <w:rsid w:val="00925480"/>
    <w:rsid w:val="00927A95"/>
    <w:rsid w:val="00934CE3"/>
    <w:rsid w:val="0093672C"/>
    <w:rsid w:val="00945175"/>
    <w:rsid w:val="00950209"/>
    <w:rsid w:val="0095021B"/>
    <w:rsid w:val="00950601"/>
    <w:rsid w:val="00950885"/>
    <w:rsid w:val="00950BBC"/>
    <w:rsid w:val="0096112B"/>
    <w:rsid w:val="00963ECC"/>
    <w:rsid w:val="00964213"/>
    <w:rsid w:val="009645FB"/>
    <w:rsid w:val="00966EAD"/>
    <w:rsid w:val="009714D1"/>
    <w:rsid w:val="00975B51"/>
    <w:rsid w:val="009819A5"/>
    <w:rsid w:val="00985D37"/>
    <w:rsid w:val="00990B51"/>
    <w:rsid w:val="009A0306"/>
    <w:rsid w:val="009C00BC"/>
    <w:rsid w:val="009C651F"/>
    <w:rsid w:val="009C7179"/>
    <w:rsid w:val="009D2F7D"/>
    <w:rsid w:val="009D77B3"/>
    <w:rsid w:val="009E1898"/>
    <w:rsid w:val="009E1D85"/>
    <w:rsid w:val="009E6B7E"/>
    <w:rsid w:val="009F1361"/>
    <w:rsid w:val="009F3906"/>
    <w:rsid w:val="009F3EB0"/>
    <w:rsid w:val="009F4E81"/>
    <w:rsid w:val="009F69C9"/>
    <w:rsid w:val="00A00342"/>
    <w:rsid w:val="00A02A1D"/>
    <w:rsid w:val="00A160FC"/>
    <w:rsid w:val="00A239C9"/>
    <w:rsid w:val="00A26EBF"/>
    <w:rsid w:val="00A32B75"/>
    <w:rsid w:val="00A34FD5"/>
    <w:rsid w:val="00A3768F"/>
    <w:rsid w:val="00A4313F"/>
    <w:rsid w:val="00A4661C"/>
    <w:rsid w:val="00A61A49"/>
    <w:rsid w:val="00A63883"/>
    <w:rsid w:val="00A82806"/>
    <w:rsid w:val="00A8655D"/>
    <w:rsid w:val="00AA20A8"/>
    <w:rsid w:val="00AA75DD"/>
    <w:rsid w:val="00AA7C31"/>
    <w:rsid w:val="00AB1727"/>
    <w:rsid w:val="00AB3832"/>
    <w:rsid w:val="00AB3976"/>
    <w:rsid w:val="00AC4DE2"/>
    <w:rsid w:val="00AC5CBF"/>
    <w:rsid w:val="00AC6DD0"/>
    <w:rsid w:val="00AD2A23"/>
    <w:rsid w:val="00AD3A13"/>
    <w:rsid w:val="00AD4994"/>
    <w:rsid w:val="00AD4BD4"/>
    <w:rsid w:val="00AD67A2"/>
    <w:rsid w:val="00AE140C"/>
    <w:rsid w:val="00AE265A"/>
    <w:rsid w:val="00AE26F7"/>
    <w:rsid w:val="00AE3D82"/>
    <w:rsid w:val="00AE45E6"/>
    <w:rsid w:val="00AF49B0"/>
    <w:rsid w:val="00B2404C"/>
    <w:rsid w:val="00B266C9"/>
    <w:rsid w:val="00B343E0"/>
    <w:rsid w:val="00B56E4D"/>
    <w:rsid w:val="00B6219B"/>
    <w:rsid w:val="00B64675"/>
    <w:rsid w:val="00B67042"/>
    <w:rsid w:val="00B7547A"/>
    <w:rsid w:val="00B842ED"/>
    <w:rsid w:val="00B84BA4"/>
    <w:rsid w:val="00B85B91"/>
    <w:rsid w:val="00B9277D"/>
    <w:rsid w:val="00B9761F"/>
    <w:rsid w:val="00BA5FB5"/>
    <w:rsid w:val="00BB19F9"/>
    <w:rsid w:val="00BB32A2"/>
    <w:rsid w:val="00BB3ECB"/>
    <w:rsid w:val="00BC07C2"/>
    <w:rsid w:val="00BC0831"/>
    <w:rsid w:val="00BC5C7D"/>
    <w:rsid w:val="00BD0078"/>
    <w:rsid w:val="00BD2E16"/>
    <w:rsid w:val="00BD5D70"/>
    <w:rsid w:val="00BD6132"/>
    <w:rsid w:val="00BE162A"/>
    <w:rsid w:val="00BF5484"/>
    <w:rsid w:val="00BF5B70"/>
    <w:rsid w:val="00BF7D08"/>
    <w:rsid w:val="00C03D50"/>
    <w:rsid w:val="00C1617D"/>
    <w:rsid w:val="00C23182"/>
    <w:rsid w:val="00C24DAB"/>
    <w:rsid w:val="00C25A98"/>
    <w:rsid w:val="00C276A2"/>
    <w:rsid w:val="00C36BE7"/>
    <w:rsid w:val="00C41FF1"/>
    <w:rsid w:val="00C47F06"/>
    <w:rsid w:val="00C50D9F"/>
    <w:rsid w:val="00C5140F"/>
    <w:rsid w:val="00C75A43"/>
    <w:rsid w:val="00C82913"/>
    <w:rsid w:val="00C83DA8"/>
    <w:rsid w:val="00C851B6"/>
    <w:rsid w:val="00C86971"/>
    <w:rsid w:val="00C90C00"/>
    <w:rsid w:val="00C90DFD"/>
    <w:rsid w:val="00C91360"/>
    <w:rsid w:val="00C97FA6"/>
    <w:rsid w:val="00CA7B41"/>
    <w:rsid w:val="00CB003D"/>
    <w:rsid w:val="00CB344A"/>
    <w:rsid w:val="00CB4DF8"/>
    <w:rsid w:val="00CC0F65"/>
    <w:rsid w:val="00CE021C"/>
    <w:rsid w:val="00CE5431"/>
    <w:rsid w:val="00CE6524"/>
    <w:rsid w:val="00CF6774"/>
    <w:rsid w:val="00CF6FFB"/>
    <w:rsid w:val="00D00E1E"/>
    <w:rsid w:val="00D017CC"/>
    <w:rsid w:val="00D03499"/>
    <w:rsid w:val="00D03F06"/>
    <w:rsid w:val="00D206AB"/>
    <w:rsid w:val="00D2350A"/>
    <w:rsid w:val="00D23F9F"/>
    <w:rsid w:val="00D277FA"/>
    <w:rsid w:val="00D30E71"/>
    <w:rsid w:val="00D361B0"/>
    <w:rsid w:val="00D376F6"/>
    <w:rsid w:val="00D42439"/>
    <w:rsid w:val="00D425A3"/>
    <w:rsid w:val="00D47221"/>
    <w:rsid w:val="00D57510"/>
    <w:rsid w:val="00D61496"/>
    <w:rsid w:val="00D718F8"/>
    <w:rsid w:val="00D73986"/>
    <w:rsid w:val="00D76645"/>
    <w:rsid w:val="00D7772B"/>
    <w:rsid w:val="00D81FD7"/>
    <w:rsid w:val="00D9126F"/>
    <w:rsid w:val="00DA7321"/>
    <w:rsid w:val="00DA777E"/>
    <w:rsid w:val="00DB024F"/>
    <w:rsid w:val="00DB1424"/>
    <w:rsid w:val="00DB24E7"/>
    <w:rsid w:val="00DB56D2"/>
    <w:rsid w:val="00DC6CC7"/>
    <w:rsid w:val="00DE03C3"/>
    <w:rsid w:val="00DE3D85"/>
    <w:rsid w:val="00DE6180"/>
    <w:rsid w:val="00DE7B4B"/>
    <w:rsid w:val="00DF0897"/>
    <w:rsid w:val="00E04D0C"/>
    <w:rsid w:val="00E126C1"/>
    <w:rsid w:val="00E21708"/>
    <w:rsid w:val="00E35A26"/>
    <w:rsid w:val="00E36993"/>
    <w:rsid w:val="00E41E1C"/>
    <w:rsid w:val="00E44E11"/>
    <w:rsid w:val="00E66758"/>
    <w:rsid w:val="00E674EA"/>
    <w:rsid w:val="00E67D6E"/>
    <w:rsid w:val="00E80CF1"/>
    <w:rsid w:val="00E91F82"/>
    <w:rsid w:val="00E96165"/>
    <w:rsid w:val="00E962C6"/>
    <w:rsid w:val="00E96642"/>
    <w:rsid w:val="00EA18D2"/>
    <w:rsid w:val="00EB14A4"/>
    <w:rsid w:val="00EB7657"/>
    <w:rsid w:val="00EC2160"/>
    <w:rsid w:val="00EC5B77"/>
    <w:rsid w:val="00EC6338"/>
    <w:rsid w:val="00ED0591"/>
    <w:rsid w:val="00EE148A"/>
    <w:rsid w:val="00EE50CF"/>
    <w:rsid w:val="00EF39B1"/>
    <w:rsid w:val="00F01189"/>
    <w:rsid w:val="00F103E2"/>
    <w:rsid w:val="00F1112D"/>
    <w:rsid w:val="00F15285"/>
    <w:rsid w:val="00F2119D"/>
    <w:rsid w:val="00F2523B"/>
    <w:rsid w:val="00F3746B"/>
    <w:rsid w:val="00F3776E"/>
    <w:rsid w:val="00F437CA"/>
    <w:rsid w:val="00F503A2"/>
    <w:rsid w:val="00F5119A"/>
    <w:rsid w:val="00F5158B"/>
    <w:rsid w:val="00F56582"/>
    <w:rsid w:val="00F57E1D"/>
    <w:rsid w:val="00F64422"/>
    <w:rsid w:val="00F720C3"/>
    <w:rsid w:val="00F818A8"/>
    <w:rsid w:val="00F823D2"/>
    <w:rsid w:val="00F87D79"/>
    <w:rsid w:val="00F90819"/>
    <w:rsid w:val="00F97DA5"/>
    <w:rsid w:val="00FA0DA2"/>
    <w:rsid w:val="00FA1371"/>
    <w:rsid w:val="00FA5FE7"/>
    <w:rsid w:val="00FA7120"/>
    <w:rsid w:val="00FC0A02"/>
    <w:rsid w:val="00FC0FFA"/>
    <w:rsid w:val="00FC26D6"/>
    <w:rsid w:val="00FD700F"/>
    <w:rsid w:val="00FE0477"/>
    <w:rsid w:val="00FE197E"/>
    <w:rsid w:val="00FE22E1"/>
    <w:rsid w:val="00FE7642"/>
    <w:rsid w:val="00FF06FC"/>
    <w:rsid w:val="00FF0953"/>
    <w:rsid w:val="00FF0DF4"/>
    <w:rsid w:val="00FF1D18"/>
    <w:rsid w:val="00FF24D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99F0F81D-B2CC-4471-A006-D4C840773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126F"/>
    <w:pPr>
      <w:overflowPunct w:val="0"/>
      <w:autoSpaceDE w:val="0"/>
      <w:autoSpaceDN w:val="0"/>
      <w:adjustRightInd w:val="0"/>
      <w:spacing w:after="0" w:line="240" w:lineRule="auto"/>
      <w:textAlignment w:val="baseline"/>
    </w:pPr>
    <w:rPr>
      <w:rFonts w:ascii="Arial" w:eastAsia="Times New Roman" w:hAnsi="Arial" w:cs="Times New Roman"/>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50A99"/>
    <w:rPr>
      <w:rFonts w:ascii="Tahoma" w:hAnsi="Tahoma" w:cs="Tahoma"/>
      <w:sz w:val="16"/>
      <w:szCs w:val="16"/>
    </w:rPr>
  </w:style>
  <w:style w:type="character" w:customStyle="1" w:styleId="TextodegloboCar">
    <w:name w:val="Texto de globo Car"/>
    <w:basedOn w:val="Fuentedeprrafopredeter"/>
    <w:link w:val="Textodeglobo"/>
    <w:uiPriority w:val="99"/>
    <w:semiHidden/>
    <w:rsid w:val="00650A99"/>
    <w:rPr>
      <w:rFonts w:ascii="Tahoma" w:hAnsi="Tahoma" w:cs="Tahoma"/>
      <w:sz w:val="16"/>
      <w:szCs w:val="16"/>
    </w:rPr>
  </w:style>
  <w:style w:type="paragraph" w:styleId="Encabezado">
    <w:name w:val="header"/>
    <w:basedOn w:val="Normal"/>
    <w:link w:val="EncabezadoCar"/>
    <w:uiPriority w:val="99"/>
    <w:unhideWhenUsed/>
    <w:rsid w:val="00650A99"/>
    <w:pPr>
      <w:tabs>
        <w:tab w:val="center" w:pos="4419"/>
        <w:tab w:val="right" w:pos="8838"/>
      </w:tabs>
    </w:pPr>
  </w:style>
  <w:style w:type="character" w:customStyle="1" w:styleId="EncabezadoCar">
    <w:name w:val="Encabezado Car"/>
    <w:basedOn w:val="Fuentedeprrafopredeter"/>
    <w:link w:val="Encabezado"/>
    <w:uiPriority w:val="99"/>
    <w:rsid w:val="00650A99"/>
  </w:style>
  <w:style w:type="paragraph" w:styleId="Piedepgina">
    <w:name w:val="footer"/>
    <w:basedOn w:val="Normal"/>
    <w:link w:val="PiedepginaCar"/>
    <w:uiPriority w:val="99"/>
    <w:unhideWhenUsed/>
    <w:rsid w:val="00650A99"/>
    <w:pPr>
      <w:tabs>
        <w:tab w:val="center" w:pos="4419"/>
        <w:tab w:val="right" w:pos="8838"/>
      </w:tabs>
    </w:pPr>
  </w:style>
  <w:style w:type="character" w:customStyle="1" w:styleId="PiedepginaCar">
    <w:name w:val="Pie de página Car"/>
    <w:basedOn w:val="Fuentedeprrafopredeter"/>
    <w:link w:val="Piedepgina"/>
    <w:uiPriority w:val="99"/>
    <w:rsid w:val="00650A99"/>
  </w:style>
  <w:style w:type="character" w:styleId="Hipervnculo">
    <w:name w:val="Hyperlink"/>
    <w:basedOn w:val="Fuentedeprrafopredeter"/>
    <w:uiPriority w:val="99"/>
    <w:unhideWhenUsed/>
    <w:rsid w:val="00650A99"/>
    <w:rPr>
      <w:color w:val="0000FF" w:themeColor="hyperlink"/>
      <w:u w:val="single"/>
    </w:rPr>
  </w:style>
  <w:style w:type="paragraph" w:styleId="NormalWeb">
    <w:name w:val="Normal (Web)"/>
    <w:basedOn w:val="Normal"/>
    <w:uiPriority w:val="99"/>
    <w:semiHidden/>
    <w:unhideWhenUsed/>
    <w:rsid w:val="00670D69"/>
    <w:pPr>
      <w:spacing w:before="100" w:beforeAutospacing="1" w:after="100" w:afterAutospacing="1"/>
    </w:pPr>
    <w:rPr>
      <w:rFonts w:ascii="Times New Roman" w:hAnsi="Times New Roman"/>
      <w:szCs w:val="24"/>
      <w:lang w:eastAsia="es-CO"/>
    </w:rPr>
  </w:style>
  <w:style w:type="table" w:styleId="Tablaconcuadrcula">
    <w:name w:val="Table Grid"/>
    <w:basedOn w:val="Tablanormal"/>
    <w:uiPriority w:val="59"/>
    <w:rsid w:val="00AE45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uiPriority w:val="1"/>
    <w:qFormat/>
    <w:rsid w:val="00BF5B70"/>
    <w:pPr>
      <w:spacing w:after="0" w:line="240" w:lineRule="auto"/>
    </w:pPr>
  </w:style>
  <w:style w:type="paragraph" w:styleId="Prrafodelista">
    <w:name w:val="List Paragraph"/>
    <w:basedOn w:val="Normal"/>
    <w:uiPriority w:val="34"/>
    <w:qFormat/>
    <w:rsid w:val="00945175"/>
    <w:pPr>
      <w:ind w:left="720"/>
      <w:contextualSpacing/>
    </w:pPr>
  </w:style>
  <w:style w:type="table" w:customStyle="1" w:styleId="Tablaconcuadrcula1">
    <w:name w:val="Tabla con cuadrícula1"/>
    <w:basedOn w:val="Tablanormal"/>
    <w:next w:val="Tablaconcuadrcula"/>
    <w:uiPriority w:val="59"/>
    <w:rsid w:val="00183C1E"/>
    <w:pPr>
      <w:spacing w:after="0" w:line="240" w:lineRule="auto"/>
    </w:pPr>
    <w:rPr>
      <w:rFonts w:ascii="Times New Roman" w:eastAsia="Times New Roman" w:hAnsi="Times New Roman" w:cs="Times New Roman"/>
      <w:sz w:val="20"/>
      <w:szCs w:val="20"/>
      <w:lang w:eastAsia="es-C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05337">
      <w:bodyDiv w:val="1"/>
      <w:marLeft w:val="0"/>
      <w:marRight w:val="0"/>
      <w:marTop w:val="0"/>
      <w:marBottom w:val="0"/>
      <w:divBdr>
        <w:top w:val="none" w:sz="0" w:space="0" w:color="auto"/>
        <w:left w:val="none" w:sz="0" w:space="0" w:color="auto"/>
        <w:bottom w:val="none" w:sz="0" w:space="0" w:color="auto"/>
        <w:right w:val="none" w:sz="0" w:space="0" w:color="auto"/>
      </w:divBdr>
    </w:div>
    <w:div w:id="182482781">
      <w:bodyDiv w:val="1"/>
      <w:marLeft w:val="0"/>
      <w:marRight w:val="0"/>
      <w:marTop w:val="0"/>
      <w:marBottom w:val="0"/>
      <w:divBdr>
        <w:top w:val="none" w:sz="0" w:space="0" w:color="auto"/>
        <w:left w:val="none" w:sz="0" w:space="0" w:color="auto"/>
        <w:bottom w:val="none" w:sz="0" w:space="0" w:color="auto"/>
        <w:right w:val="none" w:sz="0" w:space="0" w:color="auto"/>
      </w:divBdr>
    </w:div>
    <w:div w:id="237400714">
      <w:bodyDiv w:val="1"/>
      <w:marLeft w:val="0"/>
      <w:marRight w:val="0"/>
      <w:marTop w:val="0"/>
      <w:marBottom w:val="0"/>
      <w:divBdr>
        <w:top w:val="none" w:sz="0" w:space="0" w:color="auto"/>
        <w:left w:val="none" w:sz="0" w:space="0" w:color="auto"/>
        <w:bottom w:val="none" w:sz="0" w:space="0" w:color="auto"/>
        <w:right w:val="none" w:sz="0" w:space="0" w:color="auto"/>
      </w:divBdr>
    </w:div>
    <w:div w:id="996104533">
      <w:bodyDiv w:val="1"/>
      <w:marLeft w:val="0"/>
      <w:marRight w:val="0"/>
      <w:marTop w:val="0"/>
      <w:marBottom w:val="0"/>
      <w:divBdr>
        <w:top w:val="none" w:sz="0" w:space="0" w:color="auto"/>
        <w:left w:val="none" w:sz="0" w:space="0" w:color="auto"/>
        <w:bottom w:val="none" w:sz="0" w:space="0" w:color="auto"/>
        <w:right w:val="none" w:sz="0" w:space="0" w:color="auto"/>
      </w:divBdr>
    </w:div>
    <w:div w:id="1650749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contraloriatolima.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260E3-EF0F-42F1-BE4B-FA78E0815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6</Pages>
  <Words>1227</Words>
  <Characters>6754</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7966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USER</cp:lastModifiedBy>
  <cp:revision>11</cp:revision>
  <cp:lastPrinted>2016-12-25T21:25:00Z</cp:lastPrinted>
  <dcterms:created xsi:type="dcterms:W3CDTF">2016-10-31T19:32:00Z</dcterms:created>
  <dcterms:modified xsi:type="dcterms:W3CDTF">2016-12-25T21:25:00Z</dcterms:modified>
</cp:coreProperties>
</file>